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62" w:rsidRPr="00D65FE4" w:rsidRDefault="00315137" w:rsidP="00D65FE4">
      <w:pPr>
        <w:spacing w:after="200" w:line="276" w:lineRule="auto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noProof/>
          <w:szCs w:val="24"/>
          <w:lang w:val="en-GB" w:eastAsia="en-GB"/>
        </w:rPr>
        <w:drawing>
          <wp:inline distT="0" distB="0" distL="0" distR="0" wp14:anchorId="0EB06B91" wp14:editId="211B4CDB">
            <wp:extent cx="2341245" cy="96964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B4D" w:rsidRPr="00F40BDA" w:rsidRDefault="00885ED5" w:rsidP="00784CDE">
      <w:pPr>
        <w:spacing w:before="2760" w:after="480"/>
        <w:rPr>
          <w:rFonts w:ascii="Tahoma" w:hAnsi="Tahoma" w:cs="Tahoma"/>
          <w:b/>
          <w:bCs/>
          <w:color w:val="000000"/>
          <w:szCs w:val="24"/>
          <w:lang w:val="en-GB"/>
        </w:rPr>
      </w:pPr>
      <w:r>
        <w:rPr>
          <w:rFonts w:ascii="Tahoma" w:hAnsi="Tahoma" w:cs="Tahoma"/>
          <w:b/>
          <w:bCs/>
          <w:color w:val="000000"/>
          <w:szCs w:val="24"/>
          <w:lang w:val="en-GB"/>
        </w:rPr>
        <w:t xml:space="preserve">Draft </w:t>
      </w:r>
      <w:r w:rsidR="00D14B4F">
        <w:rPr>
          <w:rFonts w:ascii="Tahoma" w:hAnsi="Tahoma" w:cs="Tahoma"/>
          <w:b/>
          <w:bCs/>
          <w:color w:val="000000"/>
          <w:szCs w:val="24"/>
          <w:lang w:val="en-GB"/>
        </w:rPr>
        <w:t>Guidance for the Health Committee: Formulating Conditions of Practice Orders</w:t>
      </w:r>
    </w:p>
    <w:p w:rsidR="0007053A" w:rsidRPr="00F40BDA" w:rsidRDefault="00F26605" w:rsidP="00D65FE4">
      <w:pPr>
        <w:spacing w:after="200" w:line="276" w:lineRule="auto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7</w:t>
      </w:r>
      <w:r w:rsidR="00885ED5">
        <w:rPr>
          <w:rFonts w:ascii="Tahoma" w:hAnsi="Tahoma" w:cs="Tahoma"/>
          <w:b/>
          <w:bCs/>
          <w:szCs w:val="24"/>
        </w:rPr>
        <w:t xml:space="preserve"> July to </w:t>
      </w:r>
      <w:r w:rsidR="009600ED">
        <w:rPr>
          <w:rFonts w:ascii="Tahoma" w:hAnsi="Tahoma" w:cs="Tahoma"/>
          <w:b/>
          <w:bCs/>
          <w:szCs w:val="24"/>
        </w:rPr>
        <w:t>6 October</w:t>
      </w:r>
      <w:r w:rsidR="00885ED5">
        <w:rPr>
          <w:rFonts w:ascii="Tahoma" w:hAnsi="Tahoma" w:cs="Tahoma"/>
          <w:b/>
          <w:bCs/>
          <w:szCs w:val="24"/>
        </w:rPr>
        <w:t xml:space="preserve"> 2015</w:t>
      </w:r>
    </w:p>
    <w:p w:rsidR="00D67D79" w:rsidRPr="00F40BDA" w:rsidRDefault="000D3A62" w:rsidP="00784CDE">
      <w:pPr>
        <w:spacing w:after="240"/>
        <w:rPr>
          <w:rFonts w:ascii="Tahoma" w:hAnsi="Tahoma" w:cs="Tahoma"/>
          <w:b/>
          <w:bCs/>
          <w:szCs w:val="24"/>
        </w:rPr>
      </w:pPr>
      <w:r w:rsidRPr="00F40BDA">
        <w:rPr>
          <w:rFonts w:ascii="Tahoma" w:hAnsi="Tahoma" w:cs="Tahoma"/>
          <w:b/>
          <w:bCs/>
          <w:szCs w:val="24"/>
        </w:rPr>
        <w:br w:type="page"/>
      </w:r>
      <w:r w:rsidR="00D67D79" w:rsidRPr="00F40BDA">
        <w:rPr>
          <w:rFonts w:ascii="Tahoma" w:hAnsi="Tahoma" w:cs="Tahoma"/>
          <w:b/>
          <w:bCs/>
          <w:szCs w:val="24"/>
        </w:rPr>
        <w:lastRenderedPageBreak/>
        <w:t>About the General Osteopathic Council</w:t>
      </w:r>
    </w:p>
    <w:p w:rsidR="00D67D79" w:rsidRPr="00F40BDA" w:rsidRDefault="00D67D79" w:rsidP="00784CDE">
      <w:pPr>
        <w:pStyle w:val="Default"/>
        <w:spacing w:after="240"/>
      </w:pPr>
      <w:r w:rsidRPr="00F40BDA">
        <w:t>The General Osteopathic Council (GOsC) is the regulator for the osteopathic profession in the UK</w:t>
      </w:r>
      <w:r w:rsidR="007134A1" w:rsidRPr="00F40BDA">
        <w:t>.</w:t>
      </w:r>
      <w:r w:rsidR="00947B4D" w:rsidRPr="00F40BDA">
        <w:t xml:space="preserve"> </w:t>
      </w:r>
      <w:r w:rsidR="007134A1" w:rsidRPr="00F40BDA">
        <w:t>O</w:t>
      </w:r>
      <w:r w:rsidR="00947B4D" w:rsidRPr="00F40BDA">
        <w:t>ur role is to develop and regulate the profession of osteopathy which we do by setting standards of education, training, conduct and competence and keeping a register o</w:t>
      </w:r>
      <w:r w:rsidR="008A0D8C" w:rsidRPr="00F40BDA">
        <w:t>f</w:t>
      </w:r>
      <w:r w:rsidR="00947B4D" w:rsidRPr="00F40BDA">
        <w:t xml:space="preserve"> those who have qualified and met those standards.</w:t>
      </w:r>
      <w:r w:rsidRPr="00F40BDA">
        <w:t xml:space="preserve"> By law osteopaths must be registered with us in order to practise in the UK</w:t>
      </w:r>
      <w:r w:rsidR="007134A1" w:rsidRPr="00F40BDA">
        <w:t>;</w:t>
      </w:r>
      <w:r w:rsidR="00947B4D" w:rsidRPr="00F40BDA">
        <w:t xml:space="preserve"> </w:t>
      </w:r>
      <w:r w:rsidR="007134A1" w:rsidRPr="00F40BDA">
        <w:t xml:space="preserve">there are </w:t>
      </w:r>
      <w:r w:rsidR="00885ED5">
        <w:t xml:space="preserve">around 5,000 </w:t>
      </w:r>
      <w:r w:rsidR="007134A1" w:rsidRPr="00F40BDA">
        <w:t xml:space="preserve">registered </w:t>
      </w:r>
      <w:r w:rsidRPr="00F40BDA">
        <w:t xml:space="preserve">osteopaths. </w:t>
      </w:r>
    </w:p>
    <w:p w:rsidR="000D3A62" w:rsidRPr="00F40BDA" w:rsidRDefault="00746D28" w:rsidP="00784CDE">
      <w:pPr>
        <w:pStyle w:val="Default"/>
        <w:spacing w:after="240"/>
        <w:rPr>
          <w:b/>
          <w:bCs/>
        </w:rPr>
      </w:pPr>
      <w:r w:rsidRPr="00F40BDA">
        <w:rPr>
          <w:b/>
          <w:bCs/>
        </w:rPr>
        <w:t>The c</w:t>
      </w:r>
      <w:r w:rsidR="00D67D79" w:rsidRPr="00F40BDA">
        <w:rPr>
          <w:b/>
          <w:bCs/>
        </w:rPr>
        <w:t>onsultation</w:t>
      </w:r>
    </w:p>
    <w:p w:rsidR="00746D28" w:rsidRPr="00F40BDA" w:rsidRDefault="00D14B4F" w:rsidP="00746D2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 GOsC is consulting on guidance </w:t>
      </w:r>
      <w:r w:rsidR="00885ED5">
        <w:rPr>
          <w:rFonts w:ascii="Tahoma" w:hAnsi="Tahoma" w:cs="Tahoma"/>
          <w:szCs w:val="24"/>
        </w:rPr>
        <w:t>to assist the decision-</w:t>
      </w:r>
      <w:r w:rsidR="00AD58B2">
        <w:rPr>
          <w:rFonts w:ascii="Tahoma" w:hAnsi="Tahoma" w:cs="Tahoma"/>
          <w:szCs w:val="24"/>
        </w:rPr>
        <w:t>making of the Health Committee in cases in which it is considered appropriate to implement a Conditions of Practice Order.</w:t>
      </w:r>
    </w:p>
    <w:p w:rsidR="00746D28" w:rsidRDefault="00746D28" w:rsidP="00746D28">
      <w:pPr>
        <w:rPr>
          <w:rFonts w:ascii="Tahoma" w:hAnsi="Tahoma" w:cs="Tahoma"/>
          <w:szCs w:val="24"/>
        </w:rPr>
      </w:pPr>
    </w:p>
    <w:p w:rsidR="00BB62F7" w:rsidRPr="00BB62F7" w:rsidRDefault="00BB62F7" w:rsidP="00746D28">
      <w:pPr>
        <w:rPr>
          <w:rFonts w:ascii="Tahoma" w:hAnsi="Tahoma" w:cs="Tahoma"/>
          <w:b/>
          <w:szCs w:val="24"/>
        </w:rPr>
      </w:pPr>
      <w:r w:rsidRPr="00BB62F7">
        <w:rPr>
          <w:rFonts w:ascii="Tahoma" w:hAnsi="Tahoma" w:cs="Tahoma"/>
          <w:b/>
          <w:szCs w:val="24"/>
        </w:rPr>
        <w:t>About the Health Committee</w:t>
      </w:r>
    </w:p>
    <w:p w:rsidR="00BB62F7" w:rsidRPr="00F40BDA" w:rsidRDefault="00BB62F7" w:rsidP="00746D28">
      <w:pPr>
        <w:rPr>
          <w:rFonts w:ascii="Tahoma" w:hAnsi="Tahoma" w:cs="Tahoma"/>
          <w:szCs w:val="24"/>
        </w:rPr>
      </w:pPr>
    </w:p>
    <w:p w:rsidR="00AD58B2" w:rsidRDefault="00AD58B2" w:rsidP="00AD58B2">
      <w:pPr>
        <w:rPr>
          <w:rFonts w:ascii="Tahoma" w:hAnsi="Tahoma" w:cs="Tahoma"/>
          <w:szCs w:val="24"/>
        </w:rPr>
      </w:pPr>
      <w:r w:rsidRPr="00AD58B2">
        <w:rPr>
          <w:rFonts w:ascii="Tahoma" w:hAnsi="Tahoma" w:cs="Tahoma"/>
          <w:szCs w:val="24"/>
        </w:rPr>
        <w:t>The Health Committee considers cases where an osteopath is</w:t>
      </w:r>
      <w:r>
        <w:rPr>
          <w:rFonts w:ascii="Tahoma" w:hAnsi="Tahoma" w:cs="Tahoma"/>
          <w:szCs w:val="24"/>
        </w:rPr>
        <w:t xml:space="preserve"> </w:t>
      </w:r>
      <w:r w:rsidRPr="00AD58B2">
        <w:rPr>
          <w:rFonts w:ascii="Tahoma" w:hAnsi="Tahoma" w:cs="Tahoma"/>
          <w:szCs w:val="24"/>
        </w:rPr>
        <w:t>alleged to be</w:t>
      </w:r>
      <w:r w:rsidR="008E5C8C">
        <w:rPr>
          <w:rFonts w:ascii="Tahoma" w:hAnsi="Tahoma" w:cs="Tahoma"/>
          <w:szCs w:val="24"/>
        </w:rPr>
        <w:t xml:space="preserve"> seriously impaired because of his/her</w:t>
      </w:r>
      <w:r w:rsidRPr="00AD58B2">
        <w:rPr>
          <w:rFonts w:ascii="Tahoma" w:hAnsi="Tahoma" w:cs="Tahoma"/>
          <w:szCs w:val="24"/>
        </w:rPr>
        <w:t xml:space="preserve"> physical or mental health</w:t>
      </w:r>
      <w:r w:rsidR="00BB62F7">
        <w:rPr>
          <w:rFonts w:ascii="Tahoma" w:hAnsi="Tahoma" w:cs="Tahoma"/>
          <w:szCs w:val="24"/>
        </w:rPr>
        <w:t xml:space="preserve"> at hearings</w:t>
      </w:r>
      <w:r w:rsidRPr="00AD58B2">
        <w:rPr>
          <w:rFonts w:ascii="Tahoma" w:hAnsi="Tahoma" w:cs="Tahoma"/>
          <w:szCs w:val="24"/>
        </w:rPr>
        <w:t>.</w:t>
      </w:r>
      <w:r w:rsidR="00BB62F7">
        <w:rPr>
          <w:rFonts w:ascii="Tahoma" w:hAnsi="Tahoma" w:cs="Tahoma"/>
          <w:szCs w:val="24"/>
        </w:rPr>
        <w:t xml:space="preserve"> The procedures followed at the hearing are set out in the GOsC (Health Committee) (Procedure) Rules 2000 (HC Rules).</w:t>
      </w:r>
    </w:p>
    <w:p w:rsidR="00BB62F7" w:rsidRDefault="00BB62F7" w:rsidP="00AD58B2">
      <w:pPr>
        <w:rPr>
          <w:rFonts w:ascii="Tahoma" w:hAnsi="Tahoma" w:cs="Tahoma"/>
          <w:szCs w:val="24"/>
        </w:rPr>
      </w:pPr>
    </w:p>
    <w:p w:rsidR="00BB62F7" w:rsidRDefault="00BB62F7" w:rsidP="00AD58B2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The Health Committee is able, in relevant cases, to impose conditions on a</w:t>
      </w:r>
      <w:r w:rsidR="00D14B4F">
        <w:rPr>
          <w:rFonts w:ascii="Tahoma" w:hAnsi="Tahoma" w:cs="Tahoma"/>
          <w:szCs w:val="24"/>
        </w:rPr>
        <w:t xml:space="preserve">n osteopath’s </w:t>
      </w:r>
      <w:r>
        <w:rPr>
          <w:rFonts w:ascii="Tahoma" w:hAnsi="Tahoma" w:cs="Tahoma"/>
          <w:szCs w:val="24"/>
        </w:rPr>
        <w:t>practice – a Conditions of Practice Order</w:t>
      </w:r>
      <w:r w:rsidR="00EA4007">
        <w:rPr>
          <w:rFonts w:ascii="Tahoma" w:hAnsi="Tahoma" w:cs="Tahoma"/>
          <w:szCs w:val="24"/>
        </w:rPr>
        <w:t xml:space="preserve">. </w:t>
      </w:r>
      <w:r>
        <w:rPr>
          <w:rFonts w:ascii="Tahoma" w:hAnsi="Tahoma" w:cs="Tahoma"/>
          <w:szCs w:val="24"/>
        </w:rPr>
        <w:t>The</w:t>
      </w:r>
      <w:r w:rsidR="008E5C8C">
        <w:rPr>
          <w:rFonts w:ascii="Tahoma" w:hAnsi="Tahoma" w:cs="Tahoma"/>
          <w:szCs w:val="24"/>
        </w:rPr>
        <w:t xml:space="preserve"> osteopath must comply with any conditions imposed whilst continuing to </w:t>
      </w:r>
      <w:proofErr w:type="spellStart"/>
      <w:r w:rsidR="008E5C8C">
        <w:rPr>
          <w:rFonts w:ascii="Tahoma" w:hAnsi="Tahoma" w:cs="Tahoma"/>
          <w:szCs w:val="24"/>
        </w:rPr>
        <w:t>practi</w:t>
      </w:r>
      <w:r w:rsidR="009600ED">
        <w:rPr>
          <w:rFonts w:ascii="Tahoma" w:hAnsi="Tahoma" w:cs="Tahoma"/>
          <w:szCs w:val="24"/>
        </w:rPr>
        <w:t>s</w:t>
      </w:r>
      <w:r w:rsidR="008E5C8C">
        <w:rPr>
          <w:rFonts w:ascii="Tahoma" w:hAnsi="Tahoma" w:cs="Tahoma"/>
          <w:szCs w:val="24"/>
        </w:rPr>
        <w:t>e</w:t>
      </w:r>
      <w:proofErr w:type="spellEnd"/>
      <w:r w:rsidR="008E5C8C">
        <w:rPr>
          <w:rFonts w:ascii="Tahoma" w:hAnsi="Tahoma" w:cs="Tahoma"/>
          <w:szCs w:val="24"/>
        </w:rPr>
        <w:t xml:space="preserve"> as an osteopath. The overriding purpose of conditions </w:t>
      </w:r>
      <w:r w:rsidR="00EA4007">
        <w:rPr>
          <w:rFonts w:ascii="Tahoma" w:hAnsi="Tahoma" w:cs="Tahoma"/>
          <w:szCs w:val="24"/>
        </w:rPr>
        <w:t xml:space="preserve">is </w:t>
      </w:r>
      <w:r>
        <w:rPr>
          <w:rFonts w:ascii="Tahoma" w:hAnsi="Tahoma" w:cs="Tahoma"/>
          <w:szCs w:val="24"/>
        </w:rPr>
        <w:t>to provide protection to the public, while allowing a</w:t>
      </w:r>
      <w:r w:rsidR="00EA4007">
        <w:rPr>
          <w:rFonts w:ascii="Tahoma" w:hAnsi="Tahoma" w:cs="Tahoma"/>
          <w:szCs w:val="24"/>
        </w:rPr>
        <w:t>n osteopath</w:t>
      </w:r>
      <w:r>
        <w:rPr>
          <w:rFonts w:ascii="Tahoma" w:hAnsi="Tahoma" w:cs="Tahoma"/>
          <w:szCs w:val="24"/>
        </w:rPr>
        <w:t xml:space="preserve"> to</w:t>
      </w:r>
      <w:r w:rsidR="008E5C8C">
        <w:rPr>
          <w:rFonts w:ascii="Tahoma" w:hAnsi="Tahoma" w:cs="Tahoma"/>
          <w:szCs w:val="24"/>
        </w:rPr>
        <w:t xml:space="preserve"> seek and follow appropriate treatment</w:t>
      </w:r>
      <w:r>
        <w:rPr>
          <w:rFonts w:ascii="Tahoma" w:hAnsi="Tahoma" w:cs="Tahoma"/>
          <w:szCs w:val="24"/>
        </w:rPr>
        <w:t>. When it has decided that a C</w:t>
      </w:r>
      <w:r w:rsidR="00EA4007">
        <w:rPr>
          <w:rFonts w:ascii="Tahoma" w:hAnsi="Tahoma" w:cs="Tahoma"/>
          <w:szCs w:val="24"/>
        </w:rPr>
        <w:t>onditions of Practice Order</w:t>
      </w:r>
      <w:r>
        <w:rPr>
          <w:rFonts w:ascii="Tahoma" w:hAnsi="Tahoma" w:cs="Tahoma"/>
          <w:szCs w:val="24"/>
        </w:rPr>
        <w:t xml:space="preserve"> is the most appropriate</w:t>
      </w:r>
      <w:r w:rsidR="008E5C8C">
        <w:rPr>
          <w:rFonts w:ascii="Tahoma" w:hAnsi="Tahoma" w:cs="Tahoma"/>
          <w:szCs w:val="24"/>
        </w:rPr>
        <w:t xml:space="preserve"> and proportionate</w:t>
      </w:r>
      <w:r>
        <w:rPr>
          <w:rFonts w:ascii="Tahoma" w:hAnsi="Tahoma" w:cs="Tahoma"/>
          <w:szCs w:val="24"/>
        </w:rPr>
        <w:t xml:space="preserve"> sanction, the Health Committee will need to formulate detailed conditions that will achieve this aim.</w:t>
      </w:r>
    </w:p>
    <w:p w:rsidR="00BB62F7" w:rsidRDefault="00BB62F7" w:rsidP="00AD58B2">
      <w:pPr>
        <w:rPr>
          <w:rFonts w:ascii="Tahoma" w:hAnsi="Tahoma" w:cs="Tahoma"/>
          <w:szCs w:val="24"/>
        </w:rPr>
      </w:pPr>
    </w:p>
    <w:p w:rsidR="00BB62F7" w:rsidRDefault="00BB62F7" w:rsidP="00AD58B2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Conditions need to address the specific risks or shortcomings identified in the case and should be drafted so that </w:t>
      </w:r>
      <w:r w:rsidR="00EA4007">
        <w:rPr>
          <w:rFonts w:ascii="Tahoma" w:hAnsi="Tahoma" w:cs="Tahoma"/>
          <w:szCs w:val="24"/>
        </w:rPr>
        <w:t xml:space="preserve">osteopaths </w:t>
      </w:r>
      <w:r>
        <w:rPr>
          <w:rFonts w:ascii="Tahoma" w:hAnsi="Tahoma" w:cs="Tahoma"/>
          <w:szCs w:val="24"/>
        </w:rPr>
        <w:t>understand clearly what is expected of them, and the timescales for compliance. Conditions also need to be monitored</w:t>
      </w:r>
      <w:r w:rsidR="008E5C8C">
        <w:rPr>
          <w:rFonts w:ascii="Tahoma" w:hAnsi="Tahoma" w:cs="Tahoma"/>
          <w:szCs w:val="24"/>
        </w:rPr>
        <w:t>,</w:t>
      </w:r>
      <w:r w:rsidR="009600ED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measurable</w:t>
      </w:r>
      <w:r w:rsidR="008E5C8C">
        <w:rPr>
          <w:rFonts w:ascii="Tahoma" w:hAnsi="Tahoma" w:cs="Tahoma"/>
          <w:szCs w:val="24"/>
        </w:rPr>
        <w:t xml:space="preserve"> and attainable</w:t>
      </w:r>
      <w:r>
        <w:rPr>
          <w:rFonts w:ascii="Tahoma" w:hAnsi="Tahoma" w:cs="Tahoma"/>
          <w:szCs w:val="24"/>
        </w:rPr>
        <w:t xml:space="preserve"> so that a future Health Committee panel can consider </w:t>
      </w:r>
      <w:r w:rsidR="00EA4007">
        <w:rPr>
          <w:rFonts w:ascii="Tahoma" w:hAnsi="Tahoma" w:cs="Tahoma"/>
          <w:szCs w:val="24"/>
        </w:rPr>
        <w:t>osteopaths</w:t>
      </w:r>
      <w:r w:rsidR="002C76F6">
        <w:rPr>
          <w:rFonts w:ascii="Tahoma" w:hAnsi="Tahoma" w:cs="Tahoma"/>
          <w:szCs w:val="24"/>
        </w:rPr>
        <w:t>’</w:t>
      </w:r>
      <w:r w:rsidR="00EA4007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compliance with the conditions.</w:t>
      </w:r>
    </w:p>
    <w:p w:rsidR="00BB62F7" w:rsidRDefault="00BB62F7" w:rsidP="00AD58B2">
      <w:pPr>
        <w:rPr>
          <w:rFonts w:ascii="Tahoma" w:hAnsi="Tahoma" w:cs="Tahoma"/>
          <w:szCs w:val="24"/>
        </w:rPr>
      </w:pPr>
    </w:p>
    <w:p w:rsidR="002744D0" w:rsidRDefault="00BB62F7" w:rsidP="00AD58B2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 his report to the GOsC Council in November 2014, the Chair</w:t>
      </w:r>
      <w:r w:rsidR="002744D0">
        <w:rPr>
          <w:rFonts w:ascii="Tahoma" w:hAnsi="Tahoma" w:cs="Tahoma"/>
          <w:szCs w:val="24"/>
        </w:rPr>
        <w:t xml:space="preserve"> of the Health Committee noted that the Committee had dealt with a number of types of health issues including bipolar affective disorder, personality disorder, substance misuse depression and hypomania, alcohol dependence</w:t>
      </w:r>
      <w:r w:rsidR="002C76F6">
        <w:rPr>
          <w:rFonts w:ascii="Tahoma" w:hAnsi="Tahoma" w:cs="Tahoma"/>
          <w:szCs w:val="24"/>
        </w:rPr>
        <w:t xml:space="preserve"> and </w:t>
      </w:r>
      <w:r w:rsidR="002744D0">
        <w:rPr>
          <w:rFonts w:ascii="Tahoma" w:hAnsi="Tahoma" w:cs="Tahoma"/>
          <w:szCs w:val="24"/>
        </w:rPr>
        <w:t>paranoid schizophrenia</w:t>
      </w:r>
      <w:r w:rsidR="002C76F6">
        <w:rPr>
          <w:rFonts w:ascii="Tahoma" w:hAnsi="Tahoma" w:cs="Tahoma"/>
          <w:szCs w:val="24"/>
        </w:rPr>
        <w:t>.</w:t>
      </w:r>
      <w:r w:rsidR="002744D0">
        <w:rPr>
          <w:rFonts w:ascii="Tahoma" w:hAnsi="Tahoma" w:cs="Tahoma"/>
          <w:szCs w:val="24"/>
        </w:rPr>
        <w:t xml:space="preserve"> </w:t>
      </w:r>
      <w:r w:rsidR="000276B6">
        <w:rPr>
          <w:rFonts w:ascii="Tahoma" w:hAnsi="Tahoma" w:cs="Tahoma"/>
          <w:szCs w:val="24"/>
        </w:rPr>
        <w:t>He also noted that w</w:t>
      </w:r>
      <w:r w:rsidR="002744D0">
        <w:rPr>
          <w:rFonts w:ascii="Tahoma" w:hAnsi="Tahoma" w:cs="Tahoma"/>
          <w:szCs w:val="24"/>
        </w:rPr>
        <w:t xml:space="preserve">hile the number of cases which have been determined at a full Health Committee hearing remains low at present, it would be prudent to have in place a bank of conditions to assist the Committee as the cases work through the system. </w:t>
      </w:r>
    </w:p>
    <w:p w:rsidR="00EA4007" w:rsidRDefault="00EA4007" w:rsidP="00AD58B2">
      <w:pPr>
        <w:rPr>
          <w:rFonts w:ascii="Tahoma" w:hAnsi="Tahoma" w:cs="Tahoma"/>
          <w:szCs w:val="24"/>
        </w:rPr>
      </w:pPr>
    </w:p>
    <w:p w:rsidR="00746D28" w:rsidRPr="00F40BDA" w:rsidRDefault="00EA4007" w:rsidP="00746D2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 xml:space="preserve">The </w:t>
      </w:r>
      <w:hyperlink r:id="rId10" w:history="1">
        <w:r w:rsidRPr="00687D1A">
          <w:rPr>
            <w:rStyle w:val="Hyperlink"/>
            <w:rFonts w:ascii="Tahoma" w:hAnsi="Tahoma" w:cs="Tahoma"/>
            <w:szCs w:val="24"/>
          </w:rPr>
          <w:t xml:space="preserve">draft </w:t>
        </w:r>
        <w:r w:rsidR="000276B6" w:rsidRPr="00687D1A">
          <w:rPr>
            <w:rStyle w:val="Hyperlink"/>
            <w:rFonts w:ascii="Tahoma" w:hAnsi="Tahoma" w:cs="Tahoma"/>
            <w:szCs w:val="24"/>
          </w:rPr>
          <w:t>Guidance for the Health Committee: Formulating Conditions of Practice Orders</w:t>
        </w:r>
      </w:hyperlink>
      <w:r w:rsidR="000276B6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ha</w:t>
      </w:r>
      <w:r w:rsidR="009600ED">
        <w:rPr>
          <w:rFonts w:ascii="Tahoma" w:hAnsi="Tahoma" w:cs="Tahoma"/>
          <w:szCs w:val="24"/>
        </w:rPr>
        <w:t>s</w:t>
      </w:r>
      <w:r>
        <w:rPr>
          <w:rFonts w:ascii="Tahoma" w:hAnsi="Tahoma" w:cs="Tahoma"/>
          <w:szCs w:val="24"/>
        </w:rPr>
        <w:t xml:space="preserve"> been developed in consultation with members of the GOsC Osteopathic Practice and Health Committees, </w:t>
      </w:r>
      <w:r w:rsidR="009600ED">
        <w:rPr>
          <w:rFonts w:ascii="Tahoma" w:hAnsi="Tahoma" w:cs="Tahoma"/>
          <w:szCs w:val="24"/>
        </w:rPr>
        <w:t xml:space="preserve">and in discussion with </w:t>
      </w:r>
      <w:r>
        <w:rPr>
          <w:rFonts w:ascii="Tahoma" w:hAnsi="Tahoma" w:cs="Tahoma"/>
          <w:szCs w:val="24"/>
        </w:rPr>
        <w:t>representatives from the Institute of Osteopathy.</w:t>
      </w:r>
      <w:r w:rsidR="002C76F6">
        <w:rPr>
          <w:rFonts w:ascii="Tahoma" w:hAnsi="Tahoma" w:cs="Tahoma"/>
          <w:szCs w:val="24"/>
        </w:rPr>
        <w:t xml:space="preserve"> We are now seeking wider views on th</w:t>
      </w:r>
      <w:r w:rsidR="000276B6">
        <w:rPr>
          <w:rFonts w:ascii="Tahoma" w:hAnsi="Tahoma" w:cs="Tahoma"/>
          <w:szCs w:val="24"/>
        </w:rPr>
        <w:t xml:space="preserve">is </w:t>
      </w:r>
      <w:r w:rsidR="002C76F6">
        <w:rPr>
          <w:rFonts w:ascii="Tahoma" w:hAnsi="Tahoma" w:cs="Tahoma"/>
          <w:szCs w:val="24"/>
        </w:rPr>
        <w:t xml:space="preserve">draft </w:t>
      </w:r>
      <w:r w:rsidR="000276B6">
        <w:rPr>
          <w:rFonts w:ascii="Tahoma" w:hAnsi="Tahoma" w:cs="Tahoma"/>
          <w:szCs w:val="24"/>
        </w:rPr>
        <w:t>g</w:t>
      </w:r>
      <w:r w:rsidR="002C76F6">
        <w:rPr>
          <w:rFonts w:ascii="Tahoma" w:hAnsi="Tahoma" w:cs="Tahoma"/>
          <w:szCs w:val="24"/>
        </w:rPr>
        <w:t>uidance</w:t>
      </w:r>
      <w:r w:rsidR="00687D1A">
        <w:rPr>
          <w:rFonts w:ascii="Tahoma" w:hAnsi="Tahoma" w:cs="Tahoma"/>
          <w:szCs w:val="24"/>
        </w:rPr>
        <w:t>.</w:t>
      </w:r>
    </w:p>
    <w:p w:rsidR="00746D28" w:rsidRPr="00F40BDA" w:rsidRDefault="00746D28" w:rsidP="00746D28">
      <w:pPr>
        <w:rPr>
          <w:rFonts w:ascii="Tahoma" w:hAnsi="Tahoma" w:cs="Tahoma"/>
          <w:szCs w:val="24"/>
        </w:rPr>
      </w:pPr>
    </w:p>
    <w:p w:rsidR="00746D28" w:rsidRPr="00F40BDA" w:rsidRDefault="00746D28" w:rsidP="00746D28">
      <w:pPr>
        <w:rPr>
          <w:rFonts w:ascii="Tahoma" w:hAnsi="Tahoma" w:cs="Tahoma"/>
          <w:szCs w:val="24"/>
        </w:rPr>
      </w:pPr>
      <w:r w:rsidRPr="00F40BDA">
        <w:rPr>
          <w:rFonts w:ascii="Tahoma" w:hAnsi="Tahoma" w:cs="Tahoma"/>
          <w:szCs w:val="24"/>
        </w:rPr>
        <w:t xml:space="preserve">The consultation will run from </w:t>
      </w:r>
      <w:r w:rsidR="00C64E2D">
        <w:rPr>
          <w:rFonts w:ascii="Tahoma" w:hAnsi="Tahoma" w:cs="Tahoma"/>
          <w:szCs w:val="24"/>
        </w:rPr>
        <w:t xml:space="preserve">7 </w:t>
      </w:r>
      <w:r w:rsidR="00885ED5">
        <w:rPr>
          <w:rFonts w:ascii="Tahoma" w:hAnsi="Tahoma" w:cs="Tahoma"/>
          <w:szCs w:val="24"/>
        </w:rPr>
        <w:t xml:space="preserve">July to </w:t>
      </w:r>
      <w:r w:rsidR="009600ED">
        <w:rPr>
          <w:rFonts w:ascii="Tahoma" w:hAnsi="Tahoma" w:cs="Tahoma"/>
          <w:szCs w:val="24"/>
        </w:rPr>
        <w:t xml:space="preserve">6 October </w:t>
      </w:r>
      <w:r w:rsidR="00885ED5">
        <w:rPr>
          <w:rFonts w:ascii="Tahoma" w:hAnsi="Tahoma" w:cs="Tahoma"/>
          <w:szCs w:val="24"/>
        </w:rPr>
        <w:t>2015</w:t>
      </w:r>
      <w:r w:rsidRPr="00F40BDA">
        <w:rPr>
          <w:rFonts w:ascii="Tahoma" w:hAnsi="Tahoma" w:cs="Tahoma"/>
          <w:szCs w:val="24"/>
        </w:rPr>
        <w:t>.</w:t>
      </w:r>
    </w:p>
    <w:p w:rsidR="007007ED" w:rsidRPr="00F40BDA" w:rsidRDefault="007007ED" w:rsidP="007007ED">
      <w:pPr>
        <w:spacing w:after="240"/>
        <w:contextualSpacing/>
        <w:jc w:val="both"/>
        <w:rPr>
          <w:rFonts w:ascii="Tahoma" w:hAnsi="Tahoma" w:cs="Tahoma"/>
          <w:szCs w:val="24"/>
        </w:rPr>
      </w:pPr>
    </w:p>
    <w:p w:rsidR="000D3A62" w:rsidRPr="00F40BDA" w:rsidRDefault="000D3A62" w:rsidP="00784CDE">
      <w:pPr>
        <w:spacing w:after="240"/>
        <w:rPr>
          <w:rFonts w:ascii="Tahoma" w:hAnsi="Tahoma" w:cs="Tahoma"/>
          <w:b/>
          <w:bCs/>
          <w:szCs w:val="24"/>
        </w:rPr>
      </w:pPr>
      <w:r w:rsidRPr="00F40BDA">
        <w:rPr>
          <w:rFonts w:ascii="Tahoma" w:hAnsi="Tahoma" w:cs="Tahoma"/>
          <w:b/>
          <w:bCs/>
          <w:szCs w:val="24"/>
        </w:rPr>
        <w:t>How to respond</w:t>
      </w:r>
    </w:p>
    <w:p w:rsidR="000D3A62" w:rsidRDefault="00687D1A" w:rsidP="00687D1A">
      <w:p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szCs w:val="24"/>
        </w:rPr>
        <w:t>P</w:t>
      </w:r>
      <w:r w:rsidRPr="00F40BDA">
        <w:rPr>
          <w:rFonts w:ascii="Tahoma" w:hAnsi="Tahoma" w:cs="Tahoma"/>
          <w:szCs w:val="24"/>
        </w:rPr>
        <w:t xml:space="preserve">lease </w:t>
      </w:r>
      <w:r>
        <w:rPr>
          <w:rFonts w:ascii="Tahoma" w:hAnsi="Tahoma" w:cs="Tahoma"/>
          <w:szCs w:val="24"/>
        </w:rPr>
        <w:t>complete this form and return it to us by e</w:t>
      </w:r>
      <w:r w:rsidR="000D3A62" w:rsidRPr="00F40BDA">
        <w:rPr>
          <w:rFonts w:ascii="Tahoma" w:hAnsi="Tahoma" w:cs="Tahoma"/>
          <w:bCs/>
          <w:szCs w:val="24"/>
        </w:rPr>
        <w:t xml:space="preserve">mail </w:t>
      </w:r>
      <w:r>
        <w:rPr>
          <w:rFonts w:ascii="Tahoma" w:hAnsi="Tahoma" w:cs="Tahoma"/>
          <w:bCs/>
          <w:szCs w:val="24"/>
        </w:rPr>
        <w:t>to</w:t>
      </w:r>
      <w:r w:rsidR="000D3A62" w:rsidRPr="00F40BDA">
        <w:rPr>
          <w:rFonts w:ascii="Tahoma" w:hAnsi="Tahoma" w:cs="Tahoma"/>
          <w:bCs/>
          <w:szCs w:val="24"/>
        </w:rPr>
        <w:t xml:space="preserve">: </w:t>
      </w:r>
      <w:hyperlink r:id="rId11" w:history="1">
        <w:r w:rsidR="00672FED" w:rsidRPr="00F40BDA">
          <w:rPr>
            <w:rStyle w:val="Hyperlink"/>
            <w:rFonts w:ascii="Tahoma" w:hAnsi="Tahoma" w:cs="Tahoma"/>
            <w:bCs/>
            <w:szCs w:val="24"/>
          </w:rPr>
          <w:t>regulation@osteopathy.org.uk</w:t>
        </w:r>
      </w:hyperlink>
      <w:r w:rsidR="00DE4E18" w:rsidRPr="00F40BDA">
        <w:rPr>
          <w:rStyle w:val="Hyperlink"/>
          <w:rFonts w:ascii="Tahoma" w:hAnsi="Tahoma" w:cs="Tahoma"/>
          <w:bCs/>
          <w:szCs w:val="24"/>
        </w:rPr>
        <w:t xml:space="preserve"> </w:t>
      </w:r>
      <w:r w:rsidR="00761CD7" w:rsidRPr="00F40BDA">
        <w:rPr>
          <w:rFonts w:ascii="Tahoma" w:hAnsi="Tahoma" w:cs="Tahoma"/>
          <w:bCs/>
          <w:szCs w:val="24"/>
        </w:rPr>
        <w:t>o</w:t>
      </w:r>
      <w:r w:rsidR="000D3A62" w:rsidRPr="00F40BDA">
        <w:rPr>
          <w:rFonts w:ascii="Tahoma" w:hAnsi="Tahoma" w:cs="Tahoma"/>
          <w:bCs/>
          <w:szCs w:val="24"/>
        </w:rPr>
        <w:t>r by post to:</w:t>
      </w:r>
    </w:p>
    <w:p w:rsidR="00687D1A" w:rsidRPr="00F40BDA" w:rsidRDefault="00687D1A" w:rsidP="00687D1A">
      <w:pPr>
        <w:rPr>
          <w:rFonts w:ascii="Tahoma" w:hAnsi="Tahoma" w:cs="Tahoma"/>
          <w:bCs/>
          <w:szCs w:val="24"/>
        </w:rPr>
      </w:pPr>
    </w:p>
    <w:p w:rsidR="00DE4E18" w:rsidRPr="00F40BDA" w:rsidRDefault="000276B6" w:rsidP="00784CDE">
      <w:pPr>
        <w:autoSpaceDE w:val="0"/>
        <w:autoSpaceDN w:val="0"/>
        <w:adjustRightInd w:val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Formulating Conditions of Practice Orders consultation</w:t>
      </w:r>
    </w:p>
    <w:p w:rsidR="000D3A62" w:rsidRPr="00F40BDA" w:rsidRDefault="000D3A62" w:rsidP="00784CDE">
      <w:pPr>
        <w:autoSpaceDE w:val="0"/>
        <w:autoSpaceDN w:val="0"/>
        <w:adjustRightInd w:val="0"/>
        <w:rPr>
          <w:rFonts w:ascii="Tahoma" w:hAnsi="Tahoma" w:cs="Tahoma"/>
          <w:bCs/>
          <w:szCs w:val="24"/>
        </w:rPr>
      </w:pPr>
      <w:r w:rsidRPr="00F40BDA">
        <w:rPr>
          <w:rFonts w:ascii="Tahoma" w:hAnsi="Tahoma" w:cs="Tahoma"/>
          <w:bCs/>
          <w:szCs w:val="24"/>
        </w:rPr>
        <w:t>General Osteopathic Council</w:t>
      </w:r>
    </w:p>
    <w:p w:rsidR="000D3A62" w:rsidRPr="00F40BDA" w:rsidRDefault="000D3A62" w:rsidP="00784CDE">
      <w:pPr>
        <w:autoSpaceDE w:val="0"/>
        <w:autoSpaceDN w:val="0"/>
        <w:adjustRightInd w:val="0"/>
        <w:rPr>
          <w:rFonts w:ascii="Tahoma" w:hAnsi="Tahoma" w:cs="Tahoma"/>
          <w:bCs/>
          <w:szCs w:val="24"/>
        </w:rPr>
      </w:pPr>
      <w:r w:rsidRPr="00F40BDA">
        <w:rPr>
          <w:rFonts w:ascii="Tahoma" w:hAnsi="Tahoma" w:cs="Tahoma"/>
          <w:bCs/>
          <w:szCs w:val="24"/>
        </w:rPr>
        <w:t>Osteopathy House</w:t>
      </w:r>
    </w:p>
    <w:p w:rsidR="000D3A62" w:rsidRPr="00F40BDA" w:rsidRDefault="000D3A62" w:rsidP="00784CDE">
      <w:pPr>
        <w:autoSpaceDE w:val="0"/>
        <w:autoSpaceDN w:val="0"/>
        <w:adjustRightInd w:val="0"/>
        <w:rPr>
          <w:rFonts w:ascii="Tahoma" w:hAnsi="Tahoma" w:cs="Tahoma"/>
          <w:bCs/>
          <w:szCs w:val="24"/>
        </w:rPr>
      </w:pPr>
      <w:r w:rsidRPr="00F40BDA">
        <w:rPr>
          <w:rFonts w:ascii="Tahoma" w:hAnsi="Tahoma" w:cs="Tahoma"/>
          <w:bCs/>
          <w:szCs w:val="24"/>
        </w:rPr>
        <w:t>176 Tower Bridge Road</w:t>
      </w:r>
    </w:p>
    <w:p w:rsidR="00784CDE" w:rsidRPr="00F40BDA" w:rsidRDefault="000D3A62" w:rsidP="00784CDE">
      <w:pPr>
        <w:autoSpaceDE w:val="0"/>
        <w:autoSpaceDN w:val="0"/>
        <w:adjustRightInd w:val="0"/>
        <w:rPr>
          <w:rFonts w:ascii="Tahoma" w:hAnsi="Tahoma" w:cs="Tahoma"/>
          <w:bCs/>
          <w:szCs w:val="24"/>
        </w:rPr>
      </w:pPr>
      <w:r w:rsidRPr="00F40BDA">
        <w:rPr>
          <w:rFonts w:ascii="Tahoma" w:hAnsi="Tahoma" w:cs="Tahoma"/>
          <w:bCs/>
          <w:szCs w:val="24"/>
        </w:rPr>
        <w:t xml:space="preserve">London </w:t>
      </w:r>
    </w:p>
    <w:p w:rsidR="000D3A62" w:rsidRPr="00F40BDA" w:rsidRDefault="000D3A62" w:rsidP="00784CDE">
      <w:pPr>
        <w:autoSpaceDE w:val="0"/>
        <w:autoSpaceDN w:val="0"/>
        <w:adjustRightInd w:val="0"/>
        <w:spacing w:after="240"/>
        <w:rPr>
          <w:rFonts w:ascii="Tahoma" w:hAnsi="Tahoma" w:cs="Tahoma"/>
          <w:bCs/>
          <w:szCs w:val="24"/>
        </w:rPr>
      </w:pPr>
      <w:r w:rsidRPr="00F40BDA">
        <w:rPr>
          <w:rFonts w:ascii="Tahoma" w:hAnsi="Tahoma" w:cs="Tahoma"/>
          <w:bCs/>
          <w:szCs w:val="24"/>
        </w:rPr>
        <w:t>SE1 3LU</w:t>
      </w:r>
    </w:p>
    <w:p w:rsidR="00C7732B" w:rsidRPr="00F40BDA" w:rsidRDefault="007134A1" w:rsidP="00784CDE">
      <w:pPr>
        <w:spacing w:after="240"/>
        <w:rPr>
          <w:rFonts w:ascii="Tahoma" w:hAnsi="Tahoma" w:cs="Tahoma"/>
          <w:color w:val="000000"/>
          <w:szCs w:val="24"/>
        </w:rPr>
      </w:pPr>
      <w:r w:rsidRPr="00F40BDA">
        <w:rPr>
          <w:rFonts w:ascii="Tahoma" w:hAnsi="Tahoma" w:cs="Tahoma"/>
          <w:color w:val="000000"/>
          <w:szCs w:val="24"/>
        </w:rPr>
        <w:t>C</w:t>
      </w:r>
      <w:r w:rsidR="00C7732B" w:rsidRPr="00F40BDA">
        <w:rPr>
          <w:rFonts w:ascii="Tahoma" w:hAnsi="Tahoma" w:cs="Tahoma"/>
          <w:color w:val="000000"/>
          <w:szCs w:val="24"/>
        </w:rPr>
        <w:t xml:space="preserve">opies </w:t>
      </w:r>
      <w:r w:rsidR="00BA30F6" w:rsidRPr="00F40BDA">
        <w:rPr>
          <w:rFonts w:ascii="Tahoma" w:hAnsi="Tahoma" w:cs="Tahoma"/>
          <w:color w:val="000000"/>
          <w:szCs w:val="24"/>
        </w:rPr>
        <w:t>of the</w:t>
      </w:r>
      <w:r w:rsidR="00885ED5">
        <w:rPr>
          <w:rFonts w:ascii="Tahoma" w:hAnsi="Tahoma" w:cs="Tahoma"/>
          <w:color w:val="000000"/>
          <w:szCs w:val="24"/>
        </w:rPr>
        <w:t xml:space="preserve"> draft </w:t>
      </w:r>
      <w:r w:rsidR="000276B6">
        <w:rPr>
          <w:rFonts w:ascii="Tahoma" w:hAnsi="Tahoma" w:cs="Tahoma"/>
          <w:color w:val="000000"/>
          <w:szCs w:val="24"/>
        </w:rPr>
        <w:t xml:space="preserve">Guidance for the Health Committee: Formulating </w:t>
      </w:r>
      <w:r w:rsidR="00885ED5">
        <w:rPr>
          <w:rFonts w:ascii="Tahoma" w:hAnsi="Tahoma" w:cs="Tahoma"/>
          <w:color w:val="000000"/>
          <w:szCs w:val="24"/>
        </w:rPr>
        <w:t>Conditions</w:t>
      </w:r>
      <w:r w:rsidR="000276B6">
        <w:rPr>
          <w:rFonts w:ascii="Tahoma" w:hAnsi="Tahoma" w:cs="Tahoma"/>
          <w:color w:val="000000"/>
          <w:szCs w:val="24"/>
        </w:rPr>
        <w:t xml:space="preserve"> of Practice Orders</w:t>
      </w:r>
      <w:r w:rsidR="00885ED5">
        <w:rPr>
          <w:rFonts w:ascii="Tahoma" w:hAnsi="Tahoma" w:cs="Tahoma"/>
          <w:color w:val="000000"/>
          <w:szCs w:val="24"/>
        </w:rPr>
        <w:t xml:space="preserve">, </w:t>
      </w:r>
      <w:r w:rsidR="00C7732B" w:rsidRPr="00F40BDA">
        <w:rPr>
          <w:rFonts w:ascii="Tahoma" w:hAnsi="Tahoma" w:cs="Tahoma"/>
          <w:color w:val="000000"/>
          <w:szCs w:val="24"/>
        </w:rPr>
        <w:t>and this consultation response form</w:t>
      </w:r>
      <w:r w:rsidR="00D42404" w:rsidRPr="00F40BDA">
        <w:rPr>
          <w:rFonts w:ascii="Tahoma" w:hAnsi="Tahoma" w:cs="Tahoma"/>
          <w:color w:val="000000"/>
          <w:szCs w:val="24"/>
        </w:rPr>
        <w:t>,</w:t>
      </w:r>
      <w:r w:rsidR="00C7732B" w:rsidRPr="00F40BDA">
        <w:rPr>
          <w:rFonts w:ascii="Tahoma" w:hAnsi="Tahoma" w:cs="Tahoma"/>
          <w:color w:val="000000"/>
          <w:szCs w:val="24"/>
        </w:rPr>
        <w:t xml:space="preserve"> are also available on request </w:t>
      </w:r>
      <w:r w:rsidRPr="00F40BDA">
        <w:rPr>
          <w:rFonts w:ascii="Tahoma" w:hAnsi="Tahoma" w:cs="Tahoma"/>
          <w:color w:val="000000"/>
          <w:szCs w:val="24"/>
        </w:rPr>
        <w:t xml:space="preserve">in other formats </w:t>
      </w:r>
      <w:r w:rsidR="00C7732B" w:rsidRPr="00F40BDA">
        <w:rPr>
          <w:rFonts w:ascii="Tahoma" w:hAnsi="Tahoma" w:cs="Tahoma"/>
          <w:color w:val="000000"/>
          <w:szCs w:val="24"/>
        </w:rPr>
        <w:t xml:space="preserve">by contacting the GOsC via email at: </w:t>
      </w:r>
      <w:hyperlink r:id="rId12" w:history="1">
        <w:r w:rsidR="00005F7D" w:rsidRPr="00F40BDA">
          <w:rPr>
            <w:rStyle w:val="Hyperlink"/>
            <w:rFonts w:ascii="Tahoma" w:hAnsi="Tahoma" w:cs="Tahoma"/>
            <w:szCs w:val="24"/>
          </w:rPr>
          <w:t>regulation@osteopathy.org.uk</w:t>
        </w:r>
      </w:hyperlink>
      <w:r w:rsidR="00295123" w:rsidRPr="00F40BDA">
        <w:rPr>
          <w:rFonts w:ascii="Tahoma" w:hAnsi="Tahoma" w:cs="Tahoma"/>
          <w:szCs w:val="24"/>
        </w:rPr>
        <w:t xml:space="preserve"> </w:t>
      </w:r>
      <w:r w:rsidR="00C7732B" w:rsidRPr="00F40BDA">
        <w:rPr>
          <w:rFonts w:ascii="Tahoma" w:hAnsi="Tahoma" w:cs="Tahoma"/>
          <w:color w:val="000000"/>
          <w:szCs w:val="24"/>
        </w:rPr>
        <w:t xml:space="preserve">or 020 7357 6655 </w:t>
      </w:r>
      <w:r w:rsidR="00BF305F" w:rsidRPr="00F40BDA">
        <w:rPr>
          <w:rFonts w:ascii="Tahoma" w:hAnsi="Tahoma" w:cs="Tahoma"/>
          <w:color w:val="000000"/>
          <w:szCs w:val="24"/>
        </w:rPr>
        <w:t>x</w:t>
      </w:r>
      <w:r w:rsidR="00C7732B" w:rsidRPr="00F40BDA">
        <w:rPr>
          <w:rFonts w:ascii="Tahoma" w:hAnsi="Tahoma" w:cs="Tahoma"/>
          <w:color w:val="000000"/>
          <w:szCs w:val="24"/>
        </w:rPr>
        <w:t>2</w:t>
      </w:r>
      <w:r w:rsidR="00D42404" w:rsidRPr="00F40BDA">
        <w:rPr>
          <w:rFonts w:ascii="Tahoma" w:hAnsi="Tahoma" w:cs="Tahoma"/>
          <w:color w:val="000000"/>
          <w:szCs w:val="24"/>
        </w:rPr>
        <w:t>24</w:t>
      </w:r>
      <w:r w:rsidR="00C7732B" w:rsidRPr="00F40BDA">
        <w:rPr>
          <w:rFonts w:ascii="Tahoma" w:hAnsi="Tahoma" w:cs="Tahoma"/>
          <w:color w:val="000000"/>
          <w:szCs w:val="24"/>
        </w:rPr>
        <w:t>.</w:t>
      </w:r>
    </w:p>
    <w:p w:rsidR="000D3A62" w:rsidRPr="00F40BDA" w:rsidRDefault="000D3A62" w:rsidP="00784CDE">
      <w:pPr>
        <w:autoSpaceDE w:val="0"/>
        <w:autoSpaceDN w:val="0"/>
        <w:adjustRightInd w:val="0"/>
        <w:spacing w:after="240"/>
        <w:rPr>
          <w:rFonts w:ascii="Tahoma" w:hAnsi="Tahoma" w:cs="Tahoma"/>
          <w:bCs/>
          <w:szCs w:val="24"/>
        </w:rPr>
      </w:pPr>
      <w:r w:rsidRPr="00F40BDA">
        <w:rPr>
          <w:rFonts w:ascii="Tahoma" w:hAnsi="Tahoma" w:cs="Tahoma"/>
          <w:bCs/>
          <w:szCs w:val="24"/>
        </w:rPr>
        <w:t xml:space="preserve">We are asking some specific questions </w:t>
      </w:r>
      <w:r w:rsidR="00761810" w:rsidRPr="00F40BDA">
        <w:rPr>
          <w:rFonts w:ascii="Tahoma" w:hAnsi="Tahoma" w:cs="Tahoma"/>
          <w:bCs/>
          <w:szCs w:val="24"/>
        </w:rPr>
        <w:t>that we would like responses to</w:t>
      </w:r>
      <w:r w:rsidRPr="00F40BDA">
        <w:rPr>
          <w:rFonts w:ascii="Tahoma" w:hAnsi="Tahoma" w:cs="Tahoma"/>
          <w:bCs/>
          <w:szCs w:val="24"/>
        </w:rPr>
        <w:t>, but you are welcome to offer any comments you wish</w:t>
      </w:r>
      <w:r w:rsidR="007134A1" w:rsidRPr="00F40BDA">
        <w:rPr>
          <w:rFonts w:ascii="Tahoma" w:hAnsi="Tahoma" w:cs="Tahoma"/>
          <w:bCs/>
          <w:szCs w:val="24"/>
        </w:rPr>
        <w:t>.</w:t>
      </w:r>
      <w:r w:rsidRPr="00F40BDA">
        <w:rPr>
          <w:rFonts w:ascii="Tahoma" w:hAnsi="Tahoma" w:cs="Tahoma"/>
          <w:bCs/>
          <w:szCs w:val="24"/>
        </w:rPr>
        <w:t xml:space="preserve"> </w:t>
      </w:r>
      <w:r w:rsidR="007134A1" w:rsidRPr="00F40BDA">
        <w:rPr>
          <w:rFonts w:ascii="Tahoma" w:hAnsi="Tahoma" w:cs="Tahoma"/>
          <w:bCs/>
          <w:szCs w:val="24"/>
        </w:rPr>
        <w:t>A</w:t>
      </w:r>
      <w:r w:rsidRPr="00F40BDA">
        <w:rPr>
          <w:rFonts w:ascii="Tahoma" w:hAnsi="Tahoma" w:cs="Tahoma"/>
          <w:bCs/>
          <w:szCs w:val="24"/>
        </w:rPr>
        <w:t>ll feedback will be taken into consideration.</w:t>
      </w:r>
    </w:p>
    <w:p w:rsidR="000D3A62" w:rsidRPr="00F40BDA" w:rsidRDefault="000D3A62" w:rsidP="00784CDE">
      <w:pPr>
        <w:autoSpaceDE w:val="0"/>
        <w:autoSpaceDN w:val="0"/>
        <w:adjustRightInd w:val="0"/>
        <w:spacing w:after="240"/>
        <w:rPr>
          <w:rFonts w:ascii="Tahoma" w:hAnsi="Tahoma" w:cs="Tahoma"/>
          <w:bCs/>
          <w:szCs w:val="24"/>
        </w:rPr>
      </w:pPr>
      <w:r w:rsidRPr="00F40BDA">
        <w:rPr>
          <w:rFonts w:ascii="Tahoma" w:hAnsi="Tahoma" w:cs="Tahoma"/>
          <w:bCs/>
          <w:szCs w:val="24"/>
        </w:rPr>
        <w:t xml:space="preserve">We will publish a report about the consultation and the responses we have received. </w:t>
      </w:r>
      <w:r w:rsidR="00FA6EA3" w:rsidRPr="00F40BDA">
        <w:rPr>
          <w:rFonts w:ascii="Tahoma" w:hAnsi="Tahoma" w:cs="Tahoma"/>
          <w:bCs/>
          <w:szCs w:val="24"/>
        </w:rPr>
        <w:br/>
      </w:r>
      <w:r w:rsidRPr="00F40BDA">
        <w:rPr>
          <w:rFonts w:ascii="Tahoma" w:hAnsi="Tahoma" w:cs="Tahoma"/>
          <w:bCs/>
          <w:szCs w:val="24"/>
        </w:rPr>
        <w:t xml:space="preserve">If you would prefer your response not to be made public, please indicate </w:t>
      </w:r>
      <w:r w:rsidR="00642470" w:rsidRPr="00F40BDA">
        <w:rPr>
          <w:rFonts w:ascii="Tahoma" w:hAnsi="Tahoma" w:cs="Tahoma"/>
          <w:bCs/>
          <w:szCs w:val="24"/>
        </w:rPr>
        <w:t xml:space="preserve">this </w:t>
      </w:r>
      <w:r w:rsidRPr="00F40BDA">
        <w:rPr>
          <w:rFonts w:ascii="Tahoma" w:hAnsi="Tahoma" w:cs="Tahoma"/>
          <w:bCs/>
          <w:szCs w:val="24"/>
        </w:rPr>
        <w:t>when sending us your views.</w:t>
      </w:r>
    </w:p>
    <w:p w:rsidR="000D3A62" w:rsidRPr="00F40BDA" w:rsidRDefault="000D3A62" w:rsidP="00784CDE">
      <w:pPr>
        <w:autoSpaceDE w:val="0"/>
        <w:autoSpaceDN w:val="0"/>
        <w:adjustRightInd w:val="0"/>
        <w:spacing w:after="240"/>
        <w:rPr>
          <w:rFonts w:ascii="Tahoma" w:hAnsi="Tahoma" w:cs="Tahoma"/>
          <w:bCs/>
          <w:szCs w:val="24"/>
        </w:rPr>
      </w:pPr>
      <w:r w:rsidRPr="00F40BDA">
        <w:rPr>
          <w:rFonts w:ascii="Tahoma" w:hAnsi="Tahoma" w:cs="Tahoma"/>
          <w:bCs/>
          <w:szCs w:val="24"/>
        </w:rPr>
        <w:t xml:space="preserve">The deadline for responses to this consultation is </w:t>
      </w:r>
      <w:r w:rsidR="009600ED" w:rsidRPr="009600ED">
        <w:rPr>
          <w:rFonts w:ascii="Tahoma" w:hAnsi="Tahoma" w:cs="Tahoma"/>
          <w:b/>
          <w:bCs/>
          <w:szCs w:val="24"/>
        </w:rPr>
        <w:t>6 October</w:t>
      </w:r>
      <w:r w:rsidR="009600ED">
        <w:rPr>
          <w:rFonts w:ascii="Tahoma" w:hAnsi="Tahoma" w:cs="Tahoma"/>
          <w:bCs/>
          <w:szCs w:val="24"/>
        </w:rPr>
        <w:t xml:space="preserve"> </w:t>
      </w:r>
      <w:r w:rsidR="00BA30F6" w:rsidRPr="00885ED5">
        <w:rPr>
          <w:rFonts w:ascii="Tahoma" w:hAnsi="Tahoma" w:cs="Tahoma"/>
          <w:b/>
          <w:bCs/>
          <w:szCs w:val="24"/>
        </w:rPr>
        <w:t>201</w:t>
      </w:r>
      <w:r w:rsidR="00885ED5" w:rsidRPr="00885ED5">
        <w:rPr>
          <w:rFonts w:ascii="Tahoma" w:hAnsi="Tahoma" w:cs="Tahoma"/>
          <w:b/>
          <w:bCs/>
          <w:szCs w:val="24"/>
        </w:rPr>
        <w:t>5</w:t>
      </w:r>
      <w:r w:rsidRPr="00885ED5">
        <w:rPr>
          <w:rFonts w:ascii="Tahoma" w:hAnsi="Tahoma" w:cs="Tahoma"/>
          <w:b/>
          <w:bCs/>
          <w:szCs w:val="24"/>
        </w:rPr>
        <w:t>.</w:t>
      </w:r>
    </w:p>
    <w:p w:rsidR="000D3A62" w:rsidRPr="00F40BDA" w:rsidRDefault="000D3A62" w:rsidP="00784CDE">
      <w:pPr>
        <w:autoSpaceDE w:val="0"/>
        <w:autoSpaceDN w:val="0"/>
        <w:adjustRightInd w:val="0"/>
        <w:spacing w:after="240"/>
        <w:rPr>
          <w:rFonts w:ascii="Tahoma" w:hAnsi="Tahoma" w:cs="Tahoma"/>
          <w:bCs/>
          <w:szCs w:val="24"/>
        </w:rPr>
      </w:pPr>
      <w:r w:rsidRPr="00F40BDA">
        <w:rPr>
          <w:rFonts w:ascii="Tahoma" w:hAnsi="Tahoma" w:cs="Tahoma"/>
          <w:bCs/>
          <w:szCs w:val="24"/>
        </w:rPr>
        <w:t>We look forward to receiving your comments.</w:t>
      </w:r>
    </w:p>
    <w:p w:rsidR="000D3A62" w:rsidRPr="00F40BDA" w:rsidRDefault="000D3A62" w:rsidP="00784CDE">
      <w:pPr>
        <w:autoSpaceDE w:val="0"/>
        <w:autoSpaceDN w:val="0"/>
        <w:adjustRightInd w:val="0"/>
        <w:spacing w:after="240"/>
        <w:rPr>
          <w:rFonts w:ascii="Tahoma" w:hAnsi="Tahoma" w:cs="Tahoma"/>
          <w:bCs/>
          <w:szCs w:val="24"/>
        </w:rPr>
      </w:pPr>
      <w:r w:rsidRPr="00F40BDA">
        <w:rPr>
          <w:rFonts w:ascii="Tahoma" w:hAnsi="Tahoma" w:cs="Tahoma"/>
          <w:bCs/>
          <w:szCs w:val="24"/>
        </w:rPr>
        <w:t>Thank you.</w:t>
      </w:r>
    </w:p>
    <w:p w:rsidR="00A3253E" w:rsidRDefault="00A3253E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</w:p>
    <w:p w:rsidR="007007ED" w:rsidRPr="00F40BDA" w:rsidRDefault="007007ED" w:rsidP="007007ED">
      <w:pPr>
        <w:spacing w:after="240"/>
        <w:rPr>
          <w:rFonts w:ascii="Tahoma" w:hAnsi="Tahoma" w:cs="Tahoma"/>
          <w:b/>
          <w:szCs w:val="24"/>
        </w:rPr>
      </w:pPr>
      <w:r w:rsidRPr="00F40BDA">
        <w:rPr>
          <w:rFonts w:ascii="Tahoma" w:hAnsi="Tahoma" w:cs="Tahoma"/>
          <w:b/>
          <w:szCs w:val="24"/>
        </w:rPr>
        <w:lastRenderedPageBreak/>
        <w:t>Consultation Questions:</w:t>
      </w:r>
    </w:p>
    <w:p w:rsidR="007007ED" w:rsidRPr="00F40BDA" w:rsidRDefault="007007ED" w:rsidP="007007ED">
      <w:pPr>
        <w:numPr>
          <w:ilvl w:val="0"/>
          <w:numId w:val="11"/>
        </w:numPr>
        <w:spacing w:after="240"/>
        <w:ind w:left="357" w:hanging="357"/>
        <w:rPr>
          <w:rFonts w:ascii="Tahoma" w:hAnsi="Tahoma" w:cs="Tahoma"/>
          <w:szCs w:val="24"/>
        </w:rPr>
      </w:pPr>
      <w:r w:rsidRPr="00F40BDA">
        <w:rPr>
          <w:rFonts w:ascii="Tahoma" w:hAnsi="Tahoma" w:cs="Tahoma"/>
          <w:szCs w:val="24"/>
        </w:rPr>
        <w:t>Name of individual or organisation (optional)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7007ED" w:rsidRPr="00F40BDA" w:rsidTr="0096224A">
        <w:tc>
          <w:tcPr>
            <w:tcW w:w="9134" w:type="dxa"/>
            <w:shd w:val="clear" w:color="auto" w:fill="auto"/>
          </w:tcPr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AD58B2" w:rsidRPr="0099747B" w:rsidRDefault="00AD58B2" w:rsidP="00AD58B2">
      <w:pPr>
        <w:numPr>
          <w:ilvl w:val="0"/>
          <w:numId w:val="11"/>
        </w:numPr>
        <w:spacing w:before="240" w:after="240"/>
        <w:ind w:left="357" w:hanging="357"/>
        <w:rPr>
          <w:rFonts w:ascii="Tahoma" w:hAnsi="Tahoma" w:cs="Tahoma"/>
          <w:szCs w:val="24"/>
        </w:rPr>
      </w:pPr>
      <w:r w:rsidRPr="0099747B">
        <w:rPr>
          <w:rFonts w:ascii="Tahoma" w:hAnsi="Tahoma" w:cs="Tahoma"/>
          <w:noProof/>
          <w:szCs w:val="24"/>
          <w:lang w:val="en-GB" w:eastAsia="en-GB"/>
        </w:rPr>
        <w:drawing>
          <wp:anchor distT="0" distB="0" distL="114300" distR="114300" simplePos="0" relativeHeight="251673600" behindDoc="1" locked="0" layoutInCell="1" allowOverlap="1" wp14:anchorId="06FB6250" wp14:editId="74F739FA">
            <wp:simplePos x="0" y="0"/>
            <wp:positionH relativeFrom="column">
              <wp:posOffset>5023593</wp:posOffset>
            </wp:positionH>
            <wp:positionV relativeFrom="paragraph">
              <wp:posOffset>389722</wp:posOffset>
            </wp:positionV>
            <wp:extent cx="257175" cy="257175"/>
            <wp:effectExtent l="0" t="0" r="9525" b="9525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47B">
        <w:rPr>
          <w:rFonts w:ascii="Tahoma" w:hAnsi="Tahoma" w:cs="Tahoma"/>
          <w:szCs w:val="24"/>
        </w:rPr>
        <w:t>Are you happy for the GOsC to publish your response to this consultation?</w:t>
      </w:r>
    </w:p>
    <w:p w:rsidR="00AD58B2" w:rsidRPr="0099747B" w:rsidRDefault="00AD58B2" w:rsidP="00AD58B2">
      <w:pPr>
        <w:spacing w:before="240" w:after="240"/>
        <w:ind w:left="357"/>
        <w:rPr>
          <w:rFonts w:ascii="Tahoma" w:hAnsi="Tahoma" w:cs="Tahoma"/>
          <w:szCs w:val="24"/>
        </w:rPr>
      </w:pPr>
      <w:r w:rsidRPr="0099747B">
        <w:rPr>
          <w:rFonts w:ascii="Tahoma" w:hAnsi="Tahoma" w:cs="Tahoma"/>
          <w:noProof/>
          <w:szCs w:val="24"/>
          <w:lang w:val="en-GB" w:eastAsia="en-GB"/>
        </w:rPr>
        <w:drawing>
          <wp:anchor distT="0" distB="0" distL="114300" distR="114300" simplePos="0" relativeHeight="251674624" behindDoc="1" locked="0" layoutInCell="1" allowOverlap="1" wp14:anchorId="4B781E63" wp14:editId="5A328B76">
            <wp:simplePos x="0" y="0"/>
            <wp:positionH relativeFrom="column">
              <wp:posOffset>5024120</wp:posOffset>
            </wp:positionH>
            <wp:positionV relativeFrom="paragraph">
              <wp:posOffset>238760</wp:posOffset>
            </wp:positionV>
            <wp:extent cx="257175" cy="257175"/>
            <wp:effectExtent l="0" t="0" r="9525" b="9525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47B">
        <w:rPr>
          <w:rFonts w:ascii="Tahoma" w:hAnsi="Tahoma" w:cs="Tahoma"/>
          <w:szCs w:val="24"/>
        </w:rPr>
        <w:t>Happy for GOsC to publish my response</w:t>
      </w:r>
    </w:p>
    <w:p w:rsidR="00AD58B2" w:rsidRDefault="00AD58B2" w:rsidP="00AD58B2">
      <w:pPr>
        <w:spacing w:before="240" w:after="240"/>
        <w:ind w:left="357"/>
        <w:rPr>
          <w:rFonts w:ascii="Tahoma" w:hAnsi="Tahoma" w:cs="Tahoma"/>
          <w:szCs w:val="24"/>
        </w:rPr>
      </w:pPr>
      <w:r w:rsidRPr="0099747B">
        <w:rPr>
          <w:rFonts w:ascii="Tahoma" w:hAnsi="Tahoma" w:cs="Tahoma"/>
          <w:szCs w:val="24"/>
        </w:rPr>
        <w:t>I would prefer my response to be published in a non-attributable form</w:t>
      </w:r>
    </w:p>
    <w:p w:rsidR="009600ED" w:rsidRDefault="009600ED" w:rsidP="009600ED">
      <w:pPr>
        <w:spacing w:before="120" w:after="120"/>
        <w:ind w:left="357"/>
        <w:rPr>
          <w:rFonts w:ascii="Tahoma" w:hAnsi="Tahoma" w:cs="Tahoma"/>
          <w:szCs w:val="24"/>
        </w:rPr>
      </w:pPr>
    </w:p>
    <w:p w:rsidR="009600ED" w:rsidRPr="009600ED" w:rsidRDefault="009600ED" w:rsidP="009600ED">
      <w:pPr>
        <w:numPr>
          <w:ilvl w:val="0"/>
          <w:numId w:val="11"/>
        </w:numPr>
        <w:spacing w:before="120" w:after="120"/>
        <w:ind w:left="357" w:hanging="357"/>
        <w:rPr>
          <w:rFonts w:ascii="Tahoma" w:hAnsi="Tahoma" w:cs="Tahoma"/>
          <w:szCs w:val="24"/>
        </w:rPr>
      </w:pPr>
      <w:r w:rsidRPr="009600ED">
        <w:rPr>
          <w:rFonts w:ascii="Tahoma" w:hAnsi="Tahoma" w:cs="Tahoma"/>
          <w:szCs w:val="24"/>
        </w:rPr>
        <w:t>Are the conditions appropriate given the healthcare settings/work environment in which osteopaths practice?</w:t>
      </w:r>
    </w:p>
    <w:p w:rsidR="009600ED" w:rsidRPr="009600ED" w:rsidRDefault="009600ED" w:rsidP="009600ED">
      <w:pPr>
        <w:pStyle w:val="ListParagraph"/>
        <w:spacing w:before="240" w:after="240"/>
        <w:ind w:left="360"/>
        <w:rPr>
          <w:rFonts w:ascii="Tahoma" w:hAnsi="Tahoma" w:cs="Tahoma"/>
          <w:bCs/>
          <w:szCs w:val="24"/>
        </w:rPr>
      </w:pPr>
      <w:r w:rsidRPr="00F40BDA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01D235A" wp14:editId="58E22CB4">
            <wp:simplePos x="0" y="0"/>
            <wp:positionH relativeFrom="column">
              <wp:posOffset>756968</wp:posOffset>
            </wp:positionH>
            <wp:positionV relativeFrom="paragraph">
              <wp:posOffset>6003</wp:posOffset>
            </wp:positionV>
            <wp:extent cx="257175" cy="257175"/>
            <wp:effectExtent l="0" t="0" r="9525" b="952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0ED">
        <w:rPr>
          <w:rFonts w:ascii="Tahoma" w:hAnsi="Tahoma" w:cs="Tahoma"/>
          <w:bCs/>
          <w:szCs w:val="24"/>
        </w:rPr>
        <w:t>Yes</w:t>
      </w:r>
    </w:p>
    <w:p w:rsidR="009600ED" w:rsidRPr="00F40BDA" w:rsidRDefault="009600ED" w:rsidP="009600ED">
      <w:pPr>
        <w:pStyle w:val="ListParagraph"/>
        <w:autoSpaceDE w:val="0"/>
        <w:autoSpaceDN w:val="0"/>
        <w:adjustRightInd w:val="0"/>
        <w:spacing w:before="240" w:after="240"/>
        <w:ind w:left="360"/>
        <w:rPr>
          <w:rFonts w:ascii="Tahoma" w:hAnsi="Tahoma" w:cs="Tahoma"/>
          <w:bCs/>
          <w:sz w:val="24"/>
          <w:szCs w:val="24"/>
        </w:rPr>
      </w:pPr>
      <w:r w:rsidRPr="00F40BDA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 wp14:anchorId="77D9DCA4" wp14:editId="7BF264F4">
            <wp:simplePos x="0" y="0"/>
            <wp:positionH relativeFrom="column">
              <wp:posOffset>762635</wp:posOffset>
            </wp:positionH>
            <wp:positionV relativeFrom="paragraph">
              <wp:posOffset>14605</wp:posOffset>
            </wp:positionV>
            <wp:extent cx="257175" cy="257175"/>
            <wp:effectExtent l="0" t="0" r="9525" b="9525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BDA">
        <w:rPr>
          <w:rFonts w:ascii="Tahoma" w:hAnsi="Tahoma" w:cs="Tahoma"/>
          <w:bCs/>
          <w:sz w:val="24"/>
          <w:szCs w:val="24"/>
        </w:rPr>
        <w:t>No</w:t>
      </w:r>
    </w:p>
    <w:p w:rsidR="009600ED" w:rsidRPr="00F40BDA" w:rsidRDefault="009600ED" w:rsidP="009600ED">
      <w:pPr>
        <w:pStyle w:val="ListParagraph"/>
        <w:spacing w:after="240"/>
        <w:ind w:left="360"/>
        <w:rPr>
          <w:rFonts w:ascii="Tahoma" w:hAnsi="Tahoma" w:cs="Tahoma"/>
          <w:sz w:val="24"/>
          <w:szCs w:val="24"/>
        </w:rPr>
      </w:pPr>
      <w:r w:rsidRPr="00F40BDA">
        <w:rPr>
          <w:rFonts w:ascii="Tahoma" w:hAnsi="Tahoma" w:cs="Tahoma"/>
          <w:sz w:val="24"/>
          <w:szCs w:val="24"/>
        </w:rPr>
        <w:t>If no, please set out your reasons and any suggestions for improv</w:t>
      </w:r>
      <w:r w:rsidR="00C30B54">
        <w:rPr>
          <w:rFonts w:ascii="Tahoma" w:hAnsi="Tahoma" w:cs="Tahoma"/>
          <w:sz w:val="24"/>
          <w:szCs w:val="24"/>
        </w:rPr>
        <w:t>e</w:t>
      </w:r>
      <w:r w:rsidR="00E059DD">
        <w:rPr>
          <w:rFonts w:ascii="Tahoma" w:hAnsi="Tahoma" w:cs="Tahoma"/>
          <w:sz w:val="24"/>
          <w:szCs w:val="24"/>
        </w:rPr>
        <w:t>ment</w:t>
      </w:r>
      <w:r>
        <w:rPr>
          <w:rFonts w:ascii="Tahoma" w:hAnsi="Tahoma" w:cs="Tahoma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9600ED" w:rsidRPr="00F40BDA" w:rsidTr="00133EA2">
        <w:tc>
          <w:tcPr>
            <w:tcW w:w="9134" w:type="dxa"/>
            <w:shd w:val="clear" w:color="auto" w:fill="auto"/>
          </w:tcPr>
          <w:p w:rsidR="009600ED" w:rsidRPr="00F40BDA" w:rsidRDefault="009600ED" w:rsidP="00133EA2">
            <w:pPr>
              <w:rPr>
                <w:rFonts w:ascii="Tahoma" w:hAnsi="Tahoma" w:cs="Tahoma"/>
                <w:szCs w:val="24"/>
              </w:rPr>
            </w:pPr>
          </w:p>
          <w:p w:rsidR="009600ED" w:rsidRPr="00F40BDA" w:rsidRDefault="009600ED" w:rsidP="00133EA2">
            <w:pPr>
              <w:rPr>
                <w:rFonts w:ascii="Tahoma" w:hAnsi="Tahoma" w:cs="Tahoma"/>
                <w:szCs w:val="24"/>
              </w:rPr>
            </w:pPr>
          </w:p>
          <w:p w:rsidR="009600ED" w:rsidRPr="00F40BDA" w:rsidRDefault="009600ED" w:rsidP="00133EA2">
            <w:pPr>
              <w:rPr>
                <w:rFonts w:ascii="Tahoma" w:hAnsi="Tahoma" w:cs="Tahoma"/>
                <w:szCs w:val="24"/>
              </w:rPr>
            </w:pPr>
          </w:p>
          <w:p w:rsidR="009600ED" w:rsidRPr="00F40BDA" w:rsidRDefault="009600ED" w:rsidP="00133EA2">
            <w:pPr>
              <w:rPr>
                <w:rFonts w:ascii="Tahoma" w:hAnsi="Tahoma" w:cs="Tahoma"/>
                <w:szCs w:val="24"/>
              </w:rPr>
            </w:pPr>
          </w:p>
          <w:p w:rsidR="009600ED" w:rsidRPr="00F40BDA" w:rsidRDefault="009600ED" w:rsidP="00133EA2">
            <w:pPr>
              <w:rPr>
                <w:rFonts w:ascii="Tahoma" w:hAnsi="Tahoma" w:cs="Tahoma"/>
                <w:szCs w:val="24"/>
              </w:rPr>
            </w:pPr>
          </w:p>
          <w:p w:rsidR="009600ED" w:rsidRPr="00F40BDA" w:rsidRDefault="009600ED" w:rsidP="00133EA2">
            <w:pPr>
              <w:rPr>
                <w:rFonts w:ascii="Tahoma" w:hAnsi="Tahoma" w:cs="Tahoma"/>
                <w:szCs w:val="24"/>
              </w:rPr>
            </w:pPr>
          </w:p>
          <w:p w:rsidR="009600ED" w:rsidRPr="00F40BDA" w:rsidRDefault="009600ED" w:rsidP="00133EA2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9600ED" w:rsidRDefault="009600ED" w:rsidP="009600ED">
      <w:pPr>
        <w:spacing w:before="120" w:after="120"/>
        <w:ind w:left="357"/>
        <w:rPr>
          <w:rFonts w:ascii="Tahoma" w:hAnsi="Tahoma" w:cs="Tahoma"/>
          <w:szCs w:val="24"/>
        </w:rPr>
      </w:pPr>
    </w:p>
    <w:p w:rsidR="009600ED" w:rsidRPr="009600ED" w:rsidRDefault="009600ED" w:rsidP="009600ED">
      <w:pPr>
        <w:numPr>
          <w:ilvl w:val="0"/>
          <w:numId w:val="11"/>
        </w:numPr>
        <w:spacing w:before="120" w:after="120"/>
        <w:ind w:left="357" w:hanging="357"/>
        <w:rPr>
          <w:rFonts w:ascii="Tahoma" w:hAnsi="Tahoma" w:cs="Tahoma"/>
          <w:szCs w:val="24"/>
        </w:rPr>
      </w:pPr>
      <w:r w:rsidRPr="009600ED">
        <w:rPr>
          <w:rFonts w:ascii="Tahoma" w:hAnsi="Tahoma" w:cs="Tahoma"/>
          <w:szCs w:val="24"/>
        </w:rPr>
        <w:t>Do you have any suggestions on how we can improve the conditions bank?</w:t>
      </w:r>
    </w:p>
    <w:p w:rsidR="009600ED" w:rsidRPr="009600ED" w:rsidRDefault="009600ED" w:rsidP="009600ED">
      <w:pPr>
        <w:pStyle w:val="ListParagraph"/>
        <w:spacing w:before="240" w:after="240"/>
        <w:ind w:left="360"/>
        <w:rPr>
          <w:rFonts w:ascii="Tahoma" w:hAnsi="Tahoma" w:cs="Tahoma"/>
          <w:bCs/>
          <w:szCs w:val="24"/>
        </w:rPr>
      </w:pPr>
      <w:r w:rsidRPr="00F40BDA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1D17DBB4" wp14:editId="375453FE">
            <wp:simplePos x="0" y="0"/>
            <wp:positionH relativeFrom="column">
              <wp:posOffset>756968</wp:posOffset>
            </wp:positionH>
            <wp:positionV relativeFrom="paragraph">
              <wp:posOffset>6003</wp:posOffset>
            </wp:positionV>
            <wp:extent cx="257175" cy="257175"/>
            <wp:effectExtent l="0" t="0" r="9525" b="9525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0ED">
        <w:rPr>
          <w:rFonts w:ascii="Tahoma" w:hAnsi="Tahoma" w:cs="Tahoma"/>
          <w:bCs/>
          <w:szCs w:val="24"/>
        </w:rPr>
        <w:t>Yes</w:t>
      </w:r>
    </w:p>
    <w:p w:rsidR="009600ED" w:rsidRPr="00F40BDA" w:rsidRDefault="009600ED" w:rsidP="009600ED">
      <w:pPr>
        <w:pStyle w:val="ListParagraph"/>
        <w:autoSpaceDE w:val="0"/>
        <w:autoSpaceDN w:val="0"/>
        <w:adjustRightInd w:val="0"/>
        <w:spacing w:before="240" w:after="240"/>
        <w:ind w:left="360"/>
        <w:rPr>
          <w:rFonts w:ascii="Tahoma" w:hAnsi="Tahoma" w:cs="Tahoma"/>
          <w:bCs/>
          <w:sz w:val="24"/>
          <w:szCs w:val="24"/>
        </w:rPr>
      </w:pPr>
      <w:r w:rsidRPr="00F40BDA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 wp14:anchorId="39271BAE" wp14:editId="2C5DA4F9">
            <wp:simplePos x="0" y="0"/>
            <wp:positionH relativeFrom="column">
              <wp:posOffset>762635</wp:posOffset>
            </wp:positionH>
            <wp:positionV relativeFrom="paragraph">
              <wp:posOffset>14605</wp:posOffset>
            </wp:positionV>
            <wp:extent cx="257175" cy="257175"/>
            <wp:effectExtent l="0" t="0" r="9525" b="9525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BDA">
        <w:rPr>
          <w:rFonts w:ascii="Tahoma" w:hAnsi="Tahoma" w:cs="Tahoma"/>
          <w:bCs/>
          <w:sz w:val="24"/>
          <w:szCs w:val="24"/>
        </w:rPr>
        <w:t>No</w:t>
      </w:r>
    </w:p>
    <w:p w:rsidR="009600ED" w:rsidRDefault="009600ED">
      <w:pPr>
        <w:rPr>
          <w:rFonts w:ascii="Tahoma" w:eastAsia="Times New Roman" w:hAnsi="Tahoma" w:cs="Tahoma"/>
          <w:szCs w:val="24"/>
          <w:lang w:val="en-GB"/>
        </w:rPr>
      </w:pPr>
      <w:r>
        <w:rPr>
          <w:rFonts w:ascii="Tahoma" w:hAnsi="Tahoma" w:cs="Tahoma"/>
          <w:szCs w:val="24"/>
        </w:rPr>
        <w:br w:type="page"/>
      </w:r>
    </w:p>
    <w:p w:rsidR="009600ED" w:rsidRPr="00F40BDA" w:rsidRDefault="009600ED" w:rsidP="009600ED">
      <w:pPr>
        <w:pStyle w:val="ListParagraph"/>
        <w:spacing w:after="240"/>
        <w:ind w:left="360"/>
        <w:rPr>
          <w:rFonts w:ascii="Tahoma" w:hAnsi="Tahoma" w:cs="Tahoma"/>
          <w:sz w:val="24"/>
          <w:szCs w:val="24"/>
        </w:rPr>
      </w:pPr>
      <w:r w:rsidRPr="00F40BDA">
        <w:rPr>
          <w:rFonts w:ascii="Tahoma" w:hAnsi="Tahoma" w:cs="Tahoma"/>
          <w:sz w:val="24"/>
          <w:szCs w:val="24"/>
        </w:rPr>
        <w:lastRenderedPageBreak/>
        <w:t>If no, please set out your reasons and any suggestions for improv</w:t>
      </w:r>
      <w:r w:rsidR="00E059DD">
        <w:rPr>
          <w:rFonts w:ascii="Tahoma" w:hAnsi="Tahoma" w:cs="Tahoma"/>
          <w:sz w:val="24"/>
          <w:szCs w:val="24"/>
        </w:rPr>
        <w:t>ement</w:t>
      </w:r>
      <w:r>
        <w:rPr>
          <w:rFonts w:ascii="Tahoma" w:hAnsi="Tahoma" w:cs="Tahoma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9600ED" w:rsidRPr="00F40BDA" w:rsidTr="00133EA2">
        <w:tc>
          <w:tcPr>
            <w:tcW w:w="9134" w:type="dxa"/>
            <w:shd w:val="clear" w:color="auto" w:fill="auto"/>
          </w:tcPr>
          <w:p w:rsidR="009600ED" w:rsidRPr="00F40BDA" w:rsidRDefault="009600ED" w:rsidP="00133EA2">
            <w:pPr>
              <w:rPr>
                <w:rFonts w:ascii="Tahoma" w:hAnsi="Tahoma" w:cs="Tahoma"/>
                <w:szCs w:val="24"/>
              </w:rPr>
            </w:pPr>
          </w:p>
          <w:p w:rsidR="009600ED" w:rsidRPr="00F40BDA" w:rsidRDefault="009600ED" w:rsidP="00133EA2">
            <w:pPr>
              <w:rPr>
                <w:rFonts w:ascii="Tahoma" w:hAnsi="Tahoma" w:cs="Tahoma"/>
                <w:szCs w:val="24"/>
              </w:rPr>
            </w:pPr>
          </w:p>
          <w:p w:rsidR="009600ED" w:rsidRPr="00F40BDA" w:rsidRDefault="009600ED" w:rsidP="00133EA2">
            <w:pPr>
              <w:rPr>
                <w:rFonts w:ascii="Tahoma" w:hAnsi="Tahoma" w:cs="Tahoma"/>
                <w:szCs w:val="24"/>
              </w:rPr>
            </w:pPr>
          </w:p>
          <w:p w:rsidR="009600ED" w:rsidRPr="00F40BDA" w:rsidRDefault="009600ED" w:rsidP="00133EA2">
            <w:pPr>
              <w:rPr>
                <w:rFonts w:ascii="Tahoma" w:hAnsi="Tahoma" w:cs="Tahoma"/>
                <w:szCs w:val="24"/>
              </w:rPr>
            </w:pPr>
          </w:p>
          <w:p w:rsidR="009600ED" w:rsidRPr="00F40BDA" w:rsidRDefault="009600ED" w:rsidP="00133EA2">
            <w:pPr>
              <w:rPr>
                <w:rFonts w:ascii="Tahoma" w:hAnsi="Tahoma" w:cs="Tahoma"/>
                <w:szCs w:val="24"/>
              </w:rPr>
            </w:pPr>
          </w:p>
          <w:p w:rsidR="009600ED" w:rsidRPr="00F40BDA" w:rsidRDefault="009600ED" w:rsidP="00133EA2">
            <w:pPr>
              <w:rPr>
                <w:rFonts w:ascii="Tahoma" w:hAnsi="Tahoma" w:cs="Tahoma"/>
                <w:szCs w:val="24"/>
              </w:rPr>
            </w:pPr>
          </w:p>
          <w:p w:rsidR="009600ED" w:rsidRPr="00F40BDA" w:rsidRDefault="009600ED" w:rsidP="00133EA2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9600ED" w:rsidRPr="009600ED" w:rsidRDefault="009600ED" w:rsidP="009600ED">
      <w:pPr>
        <w:spacing w:before="120" w:after="120"/>
        <w:ind w:left="357"/>
        <w:rPr>
          <w:rFonts w:ascii="Tahoma" w:hAnsi="Tahoma" w:cs="Tahoma"/>
          <w:bCs/>
          <w:szCs w:val="24"/>
        </w:rPr>
      </w:pPr>
    </w:p>
    <w:p w:rsidR="009600ED" w:rsidRPr="009600ED" w:rsidRDefault="009600ED" w:rsidP="009600ED">
      <w:pPr>
        <w:numPr>
          <w:ilvl w:val="0"/>
          <w:numId w:val="11"/>
        </w:numPr>
        <w:spacing w:before="120" w:after="120"/>
        <w:ind w:left="357" w:hanging="357"/>
        <w:rPr>
          <w:rFonts w:ascii="Tahoma" w:hAnsi="Tahoma" w:cs="Tahoma"/>
          <w:bCs/>
          <w:szCs w:val="24"/>
        </w:rPr>
      </w:pPr>
      <w:r w:rsidRPr="009600ED">
        <w:rPr>
          <w:rFonts w:ascii="Tahoma" w:hAnsi="Tahoma" w:cs="Tahoma"/>
          <w:szCs w:val="24"/>
        </w:rPr>
        <w:t>Do you think the conditions bank will assist in improving public confidence in our processes?</w:t>
      </w:r>
      <w:r w:rsidRPr="009600ED" w:rsidDel="009600ED">
        <w:rPr>
          <w:rFonts w:ascii="Tahoma" w:hAnsi="Tahoma" w:cs="Tahoma"/>
          <w:szCs w:val="24"/>
        </w:rPr>
        <w:t xml:space="preserve"> </w:t>
      </w:r>
    </w:p>
    <w:p w:rsidR="007007ED" w:rsidRPr="00F40BDA" w:rsidRDefault="007007ED" w:rsidP="009600ED">
      <w:pPr>
        <w:spacing w:before="240" w:after="240"/>
        <w:ind w:left="357"/>
        <w:rPr>
          <w:rFonts w:ascii="Tahoma" w:hAnsi="Tahoma" w:cs="Tahoma"/>
          <w:bCs/>
          <w:szCs w:val="24"/>
        </w:rPr>
      </w:pPr>
      <w:r w:rsidRPr="00F40BDA">
        <w:rPr>
          <w:rFonts w:ascii="Tahoma" w:hAnsi="Tahoma" w:cs="Tahoma"/>
          <w:noProof/>
          <w:szCs w:val="24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1F8EB83B" wp14:editId="413E65C2">
            <wp:simplePos x="0" y="0"/>
            <wp:positionH relativeFrom="column">
              <wp:posOffset>756968</wp:posOffset>
            </wp:positionH>
            <wp:positionV relativeFrom="paragraph">
              <wp:posOffset>6003</wp:posOffset>
            </wp:positionV>
            <wp:extent cx="257175" cy="257175"/>
            <wp:effectExtent l="0" t="0" r="9525" b="9525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BDA">
        <w:rPr>
          <w:rFonts w:ascii="Tahoma" w:hAnsi="Tahoma" w:cs="Tahoma"/>
          <w:bCs/>
          <w:szCs w:val="24"/>
        </w:rPr>
        <w:t>Yes</w:t>
      </w:r>
    </w:p>
    <w:p w:rsidR="007007ED" w:rsidRPr="00F40BDA" w:rsidRDefault="007007ED" w:rsidP="007007ED">
      <w:pPr>
        <w:pStyle w:val="ListParagraph"/>
        <w:autoSpaceDE w:val="0"/>
        <w:autoSpaceDN w:val="0"/>
        <w:adjustRightInd w:val="0"/>
        <w:spacing w:before="240" w:after="240"/>
        <w:ind w:left="360"/>
        <w:rPr>
          <w:rFonts w:ascii="Tahoma" w:hAnsi="Tahoma" w:cs="Tahoma"/>
          <w:bCs/>
          <w:sz w:val="24"/>
          <w:szCs w:val="24"/>
        </w:rPr>
      </w:pPr>
      <w:r w:rsidRPr="00F40BDA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11D29168" wp14:editId="5620F2A9">
            <wp:simplePos x="0" y="0"/>
            <wp:positionH relativeFrom="column">
              <wp:posOffset>762635</wp:posOffset>
            </wp:positionH>
            <wp:positionV relativeFrom="paragraph">
              <wp:posOffset>14605</wp:posOffset>
            </wp:positionV>
            <wp:extent cx="257175" cy="257175"/>
            <wp:effectExtent l="0" t="0" r="9525" b="9525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BDA">
        <w:rPr>
          <w:rFonts w:ascii="Tahoma" w:hAnsi="Tahoma" w:cs="Tahoma"/>
          <w:bCs/>
          <w:sz w:val="24"/>
          <w:szCs w:val="24"/>
        </w:rPr>
        <w:t>No</w:t>
      </w:r>
    </w:p>
    <w:p w:rsidR="007007ED" w:rsidRPr="00F40BDA" w:rsidRDefault="007007ED" w:rsidP="007007ED">
      <w:pPr>
        <w:pStyle w:val="ListParagraph"/>
        <w:spacing w:after="240"/>
        <w:ind w:left="360"/>
        <w:rPr>
          <w:rFonts w:ascii="Tahoma" w:hAnsi="Tahoma" w:cs="Tahoma"/>
          <w:sz w:val="24"/>
          <w:szCs w:val="24"/>
        </w:rPr>
      </w:pPr>
      <w:r w:rsidRPr="00F40BDA">
        <w:rPr>
          <w:rFonts w:ascii="Tahoma" w:hAnsi="Tahoma" w:cs="Tahoma"/>
          <w:sz w:val="24"/>
          <w:szCs w:val="24"/>
        </w:rPr>
        <w:t>If no, please set out your reasons and any suggestions for improv</w:t>
      </w:r>
      <w:r w:rsidR="00E059DD">
        <w:rPr>
          <w:rFonts w:ascii="Tahoma" w:hAnsi="Tahoma" w:cs="Tahoma"/>
          <w:sz w:val="24"/>
          <w:szCs w:val="24"/>
        </w:rPr>
        <w:t>ement</w:t>
      </w:r>
      <w:r w:rsidR="00885ED5">
        <w:rPr>
          <w:rFonts w:ascii="Tahoma" w:hAnsi="Tahoma" w:cs="Tahoma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7007ED" w:rsidRPr="00F40BDA" w:rsidTr="0096224A">
        <w:tc>
          <w:tcPr>
            <w:tcW w:w="9134" w:type="dxa"/>
            <w:shd w:val="clear" w:color="auto" w:fill="auto"/>
          </w:tcPr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9600ED" w:rsidRDefault="009600ED" w:rsidP="009600ED">
      <w:pPr>
        <w:spacing w:before="120" w:after="120"/>
        <w:ind w:left="357"/>
        <w:rPr>
          <w:rFonts w:ascii="Tahoma" w:hAnsi="Tahoma" w:cs="Tahoma"/>
          <w:szCs w:val="24"/>
        </w:rPr>
      </w:pPr>
    </w:p>
    <w:p w:rsidR="007007ED" w:rsidRPr="00F40BDA" w:rsidRDefault="007007ED" w:rsidP="009600ED">
      <w:pPr>
        <w:numPr>
          <w:ilvl w:val="0"/>
          <w:numId w:val="11"/>
        </w:numPr>
        <w:spacing w:before="120" w:after="120"/>
        <w:ind w:left="357" w:hanging="357"/>
        <w:rPr>
          <w:rFonts w:ascii="Tahoma" w:hAnsi="Tahoma" w:cs="Tahoma"/>
          <w:szCs w:val="24"/>
        </w:rPr>
      </w:pPr>
      <w:r w:rsidRPr="00F40BDA">
        <w:rPr>
          <w:rFonts w:ascii="Tahoma" w:hAnsi="Tahoma" w:cs="Tahoma"/>
          <w:szCs w:val="24"/>
        </w:rPr>
        <w:t>Please provide us with any other comments you may have</w:t>
      </w:r>
      <w:r w:rsidR="009600ED">
        <w:rPr>
          <w:rFonts w:ascii="Tahoma" w:hAnsi="Tahoma" w:cs="Tahoma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7007ED" w:rsidRPr="00F40BDA" w:rsidTr="0096224A">
        <w:tc>
          <w:tcPr>
            <w:tcW w:w="9134" w:type="dxa"/>
            <w:shd w:val="clear" w:color="auto" w:fill="auto"/>
          </w:tcPr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  <w:p w:rsidR="007007ED" w:rsidRPr="00F40BDA" w:rsidRDefault="007007ED" w:rsidP="0096224A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7007ED" w:rsidRPr="00F40BDA" w:rsidRDefault="007007ED" w:rsidP="007007ED">
      <w:pPr>
        <w:autoSpaceDE w:val="0"/>
        <w:autoSpaceDN w:val="0"/>
        <w:adjustRightInd w:val="0"/>
        <w:spacing w:before="240" w:after="240"/>
        <w:rPr>
          <w:rFonts w:ascii="Tahoma" w:hAnsi="Tahoma" w:cs="Tahoma"/>
          <w:b/>
          <w:bCs/>
          <w:szCs w:val="24"/>
        </w:rPr>
      </w:pPr>
    </w:p>
    <w:p w:rsidR="007007ED" w:rsidRPr="00F40BDA" w:rsidRDefault="007007ED" w:rsidP="009600ED">
      <w:pPr>
        <w:rPr>
          <w:rFonts w:ascii="Tahoma" w:hAnsi="Tahoma" w:cs="Tahoma"/>
          <w:b/>
          <w:bCs/>
          <w:szCs w:val="24"/>
        </w:rPr>
      </w:pPr>
      <w:r w:rsidRPr="00F40BDA">
        <w:rPr>
          <w:rFonts w:ascii="Tahoma" w:hAnsi="Tahoma" w:cs="Tahoma"/>
          <w:b/>
          <w:bCs/>
          <w:szCs w:val="24"/>
        </w:rPr>
        <w:t>Thank you for your response to this consultation.</w:t>
      </w:r>
    </w:p>
    <w:p w:rsidR="007007ED" w:rsidRPr="00F40BDA" w:rsidRDefault="007007ED" w:rsidP="007007ED">
      <w:pPr>
        <w:spacing w:after="240"/>
        <w:rPr>
          <w:rFonts w:ascii="Tahoma" w:eastAsia="Times New Roman" w:hAnsi="Tahoma" w:cs="Tahoma"/>
          <w:szCs w:val="24"/>
          <w:lang w:val="en-GB"/>
        </w:rPr>
      </w:pPr>
      <w:r w:rsidRPr="00F40BDA">
        <w:rPr>
          <w:rFonts w:ascii="Tahoma" w:hAnsi="Tahoma" w:cs="Tahoma"/>
          <w:bCs/>
          <w:szCs w:val="24"/>
        </w:rPr>
        <w:t xml:space="preserve">We would also like to ask some questions about you. Completing </w:t>
      </w:r>
      <w:hyperlink r:id="rId14" w:history="1">
        <w:r w:rsidRPr="00687D1A">
          <w:rPr>
            <w:rStyle w:val="Hyperlink"/>
            <w:rFonts w:ascii="Tahoma" w:hAnsi="Tahoma" w:cs="Tahoma"/>
            <w:bCs/>
            <w:szCs w:val="24"/>
          </w:rPr>
          <w:t>the dive</w:t>
        </w:r>
        <w:bookmarkStart w:id="0" w:name="_GoBack"/>
        <w:bookmarkEnd w:id="0"/>
        <w:r w:rsidRPr="00687D1A">
          <w:rPr>
            <w:rStyle w:val="Hyperlink"/>
            <w:rFonts w:ascii="Tahoma" w:hAnsi="Tahoma" w:cs="Tahoma"/>
            <w:bCs/>
            <w:szCs w:val="24"/>
          </w:rPr>
          <w:t>rsity questionnaire</w:t>
        </w:r>
      </w:hyperlink>
      <w:r w:rsidRPr="00F40BDA">
        <w:rPr>
          <w:rFonts w:ascii="Tahoma" w:hAnsi="Tahoma" w:cs="Tahoma"/>
          <w:bCs/>
          <w:szCs w:val="24"/>
        </w:rPr>
        <w:t xml:space="preserve"> is optional, but we would welcome information about our respondents.</w:t>
      </w:r>
      <w:r w:rsidRPr="00F40BDA">
        <w:rPr>
          <w:rFonts w:ascii="Tahoma" w:hAnsi="Tahoma" w:cs="Tahoma"/>
          <w:bCs/>
          <w:szCs w:val="24"/>
        </w:rPr>
        <w:br/>
      </w:r>
      <w:r w:rsidRPr="00F40BDA">
        <w:rPr>
          <w:rFonts w:ascii="Tahoma" w:eastAsia="Times New Roman" w:hAnsi="Tahoma" w:cs="Tahoma"/>
          <w:szCs w:val="24"/>
          <w:lang w:val="en-GB"/>
        </w:rPr>
        <w:t>The information you provide will only be used for the purposes of analysing the consultation responses.</w:t>
      </w:r>
    </w:p>
    <w:sectPr w:rsidR="007007ED" w:rsidRPr="00F40BDA" w:rsidSect="00005F7D">
      <w:footerReference w:type="default" r:id="rId15"/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46" w:rsidRDefault="005E0F46" w:rsidP="000D3A62">
      <w:r>
        <w:separator/>
      </w:r>
    </w:p>
  </w:endnote>
  <w:endnote w:type="continuationSeparator" w:id="0">
    <w:p w:rsidR="005E0F46" w:rsidRDefault="005E0F46" w:rsidP="000D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544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E23" w:rsidRDefault="008E6E23" w:rsidP="008E6E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D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6E23" w:rsidRDefault="008E6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46" w:rsidRDefault="005E0F46" w:rsidP="000D3A62">
      <w:r>
        <w:separator/>
      </w:r>
    </w:p>
  </w:footnote>
  <w:footnote w:type="continuationSeparator" w:id="0">
    <w:p w:rsidR="005E0F46" w:rsidRDefault="005E0F46" w:rsidP="000D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175"/>
    <w:multiLevelType w:val="hybridMultilevel"/>
    <w:tmpl w:val="63226E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0FC918"/>
    <w:multiLevelType w:val="hybridMultilevel"/>
    <w:tmpl w:val="EF4B1B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7E3C3B"/>
    <w:multiLevelType w:val="hybridMultilevel"/>
    <w:tmpl w:val="AB789EA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4326E78"/>
    <w:multiLevelType w:val="hybridMultilevel"/>
    <w:tmpl w:val="2AD0E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01334"/>
    <w:multiLevelType w:val="hybridMultilevel"/>
    <w:tmpl w:val="EF5EAC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B7911"/>
    <w:multiLevelType w:val="hybridMultilevel"/>
    <w:tmpl w:val="ECB69294"/>
    <w:lvl w:ilvl="0" w:tplc="BF76B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F113B"/>
    <w:multiLevelType w:val="hybridMultilevel"/>
    <w:tmpl w:val="5D1EC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56B85"/>
    <w:multiLevelType w:val="hybridMultilevel"/>
    <w:tmpl w:val="E0A6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927CC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57358"/>
    <w:multiLevelType w:val="hybridMultilevel"/>
    <w:tmpl w:val="F16E9D0C"/>
    <w:lvl w:ilvl="0" w:tplc="90BAA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00910"/>
    <w:multiLevelType w:val="hybridMultilevel"/>
    <w:tmpl w:val="D30A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D211C"/>
    <w:multiLevelType w:val="hybridMultilevel"/>
    <w:tmpl w:val="B68241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72A8"/>
    <w:multiLevelType w:val="hybridMultilevel"/>
    <w:tmpl w:val="CDFCE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426AB"/>
    <w:multiLevelType w:val="hybridMultilevel"/>
    <w:tmpl w:val="3588F132"/>
    <w:lvl w:ilvl="0" w:tplc="BF76B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C2D18"/>
    <w:multiLevelType w:val="hybridMultilevel"/>
    <w:tmpl w:val="37E0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73B01"/>
    <w:multiLevelType w:val="hybridMultilevel"/>
    <w:tmpl w:val="BE00A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EE21E2"/>
    <w:multiLevelType w:val="hybridMultilevel"/>
    <w:tmpl w:val="E7925E2E"/>
    <w:lvl w:ilvl="0" w:tplc="DDD4B3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2" w:tplc="08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7542D"/>
    <w:multiLevelType w:val="hybridMultilevel"/>
    <w:tmpl w:val="EF88D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90A86"/>
    <w:multiLevelType w:val="hybridMultilevel"/>
    <w:tmpl w:val="B68241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4"/>
  </w:num>
  <w:num w:numId="12">
    <w:abstractNumId w:val="10"/>
  </w:num>
  <w:num w:numId="13">
    <w:abstractNumId w:val="17"/>
  </w:num>
  <w:num w:numId="14">
    <w:abstractNumId w:val="8"/>
  </w:num>
  <w:num w:numId="15">
    <w:abstractNumId w:val="7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4A"/>
    <w:rsid w:val="00005F7D"/>
    <w:rsid w:val="00011608"/>
    <w:rsid w:val="00017AAD"/>
    <w:rsid w:val="000276B6"/>
    <w:rsid w:val="00036D0B"/>
    <w:rsid w:val="00057A17"/>
    <w:rsid w:val="0007053A"/>
    <w:rsid w:val="000840D2"/>
    <w:rsid w:val="000A494A"/>
    <w:rsid w:val="000C1846"/>
    <w:rsid w:val="000D3A62"/>
    <w:rsid w:val="000E6A0E"/>
    <w:rsid w:val="000F3BA7"/>
    <w:rsid w:val="00112AB8"/>
    <w:rsid w:val="00121B9F"/>
    <w:rsid w:val="00147554"/>
    <w:rsid w:val="00155EAC"/>
    <w:rsid w:val="001734AD"/>
    <w:rsid w:val="00183995"/>
    <w:rsid w:val="001A6E92"/>
    <w:rsid w:val="001B01AA"/>
    <w:rsid w:val="00200B17"/>
    <w:rsid w:val="0021418E"/>
    <w:rsid w:val="002206ED"/>
    <w:rsid w:val="00270E7B"/>
    <w:rsid w:val="002744D0"/>
    <w:rsid w:val="00295123"/>
    <w:rsid w:val="002C76F6"/>
    <w:rsid w:val="00315137"/>
    <w:rsid w:val="00364860"/>
    <w:rsid w:val="00383E60"/>
    <w:rsid w:val="003B4A65"/>
    <w:rsid w:val="003B5F02"/>
    <w:rsid w:val="003F18F4"/>
    <w:rsid w:val="004301AB"/>
    <w:rsid w:val="00435CCD"/>
    <w:rsid w:val="00447456"/>
    <w:rsid w:val="004477A3"/>
    <w:rsid w:val="00453079"/>
    <w:rsid w:val="004E1089"/>
    <w:rsid w:val="004E3898"/>
    <w:rsid w:val="00535AEF"/>
    <w:rsid w:val="00560EB1"/>
    <w:rsid w:val="00577A8D"/>
    <w:rsid w:val="005B5873"/>
    <w:rsid w:val="005E0F46"/>
    <w:rsid w:val="005F0B8A"/>
    <w:rsid w:val="005F1D28"/>
    <w:rsid w:val="005F6982"/>
    <w:rsid w:val="00600D52"/>
    <w:rsid w:val="006265B1"/>
    <w:rsid w:val="00642470"/>
    <w:rsid w:val="006466BB"/>
    <w:rsid w:val="006713C7"/>
    <w:rsid w:val="00672FED"/>
    <w:rsid w:val="0067609A"/>
    <w:rsid w:val="00687D1A"/>
    <w:rsid w:val="006C6552"/>
    <w:rsid w:val="006D3F36"/>
    <w:rsid w:val="006D518D"/>
    <w:rsid w:val="007007ED"/>
    <w:rsid w:val="00710B50"/>
    <w:rsid w:val="007134A1"/>
    <w:rsid w:val="00741434"/>
    <w:rsid w:val="00746D28"/>
    <w:rsid w:val="00753D90"/>
    <w:rsid w:val="00761810"/>
    <w:rsid w:val="00761CD7"/>
    <w:rsid w:val="00762272"/>
    <w:rsid w:val="0077375F"/>
    <w:rsid w:val="00784CDE"/>
    <w:rsid w:val="007A41BB"/>
    <w:rsid w:val="007B1902"/>
    <w:rsid w:val="007D5D34"/>
    <w:rsid w:val="0084212C"/>
    <w:rsid w:val="008613D7"/>
    <w:rsid w:val="00876F9B"/>
    <w:rsid w:val="00885ED5"/>
    <w:rsid w:val="00893092"/>
    <w:rsid w:val="008A0D8C"/>
    <w:rsid w:val="008B4234"/>
    <w:rsid w:val="008E55FA"/>
    <w:rsid w:val="008E5C8C"/>
    <w:rsid w:val="008E6E23"/>
    <w:rsid w:val="00907358"/>
    <w:rsid w:val="009078B5"/>
    <w:rsid w:val="00947B4D"/>
    <w:rsid w:val="00957618"/>
    <w:rsid w:val="009600ED"/>
    <w:rsid w:val="00963E61"/>
    <w:rsid w:val="00974BA7"/>
    <w:rsid w:val="009B5544"/>
    <w:rsid w:val="009C6728"/>
    <w:rsid w:val="009D4195"/>
    <w:rsid w:val="009F5A59"/>
    <w:rsid w:val="00A3253E"/>
    <w:rsid w:val="00A65A33"/>
    <w:rsid w:val="00A70CC1"/>
    <w:rsid w:val="00AA317A"/>
    <w:rsid w:val="00AB311D"/>
    <w:rsid w:val="00AD5007"/>
    <w:rsid w:val="00AD58B2"/>
    <w:rsid w:val="00B30AFB"/>
    <w:rsid w:val="00B47309"/>
    <w:rsid w:val="00B633DF"/>
    <w:rsid w:val="00BA30F6"/>
    <w:rsid w:val="00BB3822"/>
    <w:rsid w:val="00BB62F7"/>
    <w:rsid w:val="00BE31A8"/>
    <w:rsid w:val="00BE7975"/>
    <w:rsid w:val="00BF305F"/>
    <w:rsid w:val="00C2572B"/>
    <w:rsid w:val="00C30B54"/>
    <w:rsid w:val="00C434D2"/>
    <w:rsid w:val="00C64E2D"/>
    <w:rsid w:val="00C67B25"/>
    <w:rsid w:val="00C7732B"/>
    <w:rsid w:val="00CA49C7"/>
    <w:rsid w:val="00CA7CE4"/>
    <w:rsid w:val="00CD0C0E"/>
    <w:rsid w:val="00CE08EA"/>
    <w:rsid w:val="00CE5507"/>
    <w:rsid w:val="00CE6EA3"/>
    <w:rsid w:val="00CF4D3B"/>
    <w:rsid w:val="00D120ED"/>
    <w:rsid w:val="00D14B4F"/>
    <w:rsid w:val="00D42404"/>
    <w:rsid w:val="00D508DA"/>
    <w:rsid w:val="00D56BA3"/>
    <w:rsid w:val="00D57CB4"/>
    <w:rsid w:val="00D65FE4"/>
    <w:rsid w:val="00D67D79"/>
    <w:rsid w:val="00D73D73"/>
    <w:rsid w:val="00DE27EA"/>
    <w:rsid w:val="00DE4E18"/>
    <w:rsid w:val="00DF022F"/>
    <w:rsid w:val="00E0325C"/>
    <w:rsid w:val="00E03AAB"/>
    <w:rsid w:val="00E03C49"/>
    <w:rsid w:val="00E059DD"/>
    <w:rsid w:val="00E060C5"/>
    <w:rsid w:val="00E10486"/>
    <w:rsid w:val="00E26288"/>
    <w:rsid w:val="00E34916"/>
    <w:rsid w:val="00E43D57"/>
    <w:rsid w:val="00E54C7E"/>
    <w:rsid w:val="00E641E2"/>
    <w:rsid w:val="00E93C95"/>
    <w:rsid w:val="00E96962"/>
    <w:rsid w:val="00EA1AC1"/>
    <w:rsid w:val="00EA4007"/>
    <w:rsid w:val="00EE22F0"/>
    <w:rsid w:val="00F024A7"/>
    <w:rsid w:val="00F1027E"/>
    <w:rsid w:val="00F12255"/>
    <w:rsid w:val="00F26605"/>
    <w:rsid w:val="00F30C57"/>
    <w:rsid w:val="00F37D82"/>
    <w:rsid w:val="00F40BDA"/>
    <w:rsid w:val="00FA260E"/>
    <w:rsid w:val="00FA6EA3"/>
    <w:rsid w:val="00FC5944"/>
    <w:rsid w:val="00FD2630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4A"/>
    <w:rPr>
      <w:rFonts w:ascii="Arial" w:hAnsi="Arial"/>
      <w:sz w:val="24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D65FE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4A"/>
    <w:pPr>
      <w:ind w:left="720"/>
    </w:pPr>
    <w:rPr>
      <w:rFonts w:eastAsia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3A6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0D3A6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A6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D3A62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D3A62"/>
    <w:rPr>
      <w:vertAlign w:val="superscript"/>
    </w:rPr>
  </w:style>
  <w:style w:type="table" w:styleId="TableGrid">
    <w:name w:val="Table Grid"/>
    <w:basedOn w:val="TableNormal"/>
    <w:uiPriority w:val="59"/>
    <w:rsid w:val="00907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4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3D5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3D57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6D518D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D65FE4"/>
    <w:rPr>
      <w:rFonts w:ascii="Times New Roman" w:eastAsia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E6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E23"/>
    <w:rPr>
      <w:rFonts w:ascii="Arial" w:hAnsi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6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E23"/>
    <w:rPr>
      <w:rFonts w:ascii="Arial" w:hAnsi="Arial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4A"/>
    <w:rPr>
      <w:rFonts w:ascii="Arial" w:hAnsi="Arial"/>
      <w:sz w:val="24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D65FE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4A"/>
    <w:pPr>
      <w:ind w:left="720"/>
    </w:pPr>
    <w:rPr>
      <w:rFonts w:eastAsia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3A6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0D3A6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A6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D3A62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D3A62"/>
    <w:rPr>
      <w:vertAlign w:val="superscript"/>
    </w:rPr>
  </w:style>
  <w:style w:type="table" w:styleId="TableGrid">
    <w:name w:val="Table Grid"/>
    <w:basedOn w:val="TableNormal"/>
    <w:uiPriority w:val="59"/>
    <w:rsid w:val="00907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4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3D5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3D57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6D518D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D65FE4"/>
    <w:rPr>
      <w:rFonts w:ascii="Times New Roman" w:eastAsia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E6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E23"/>
    <w:rPr>
      <w:rFonts w:ascii="Arial" w:hAnsi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6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E23"/>
    <w:rPr>
      <w:rFonts w:ascii="Arial" w:hAnsi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6644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8523">
                      <w:marLeft w:val="2214"/>
                      <w:marRight w:val="25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6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gulation@osteopathy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ulation@osteopathy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steopathy.org.uk/news-and-resources/document-library/consultations/formulating-conditions-of-practice-orders-draft-guidan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steopathy.org.uk/news-and-resources/document-library/consultations/formulating-conditions-of-practice-equality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7DABD-D521-4190-B6B3-2C96D79D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5571</CharactersWithSpaces>
  <SharedDoc>false</SharedDoc>
  <HLinks>
    <vt:vector size="18" baseType="variant">
      <vt:variant>
        <vt:i4>2621567</vt:i4>
      </vt:variant>
      <vt:variant>
        <vt:i4>9</vt:i4>
      </vt:variant>
      <vt:variant>
        <vt:i4>0</vt:i4>
      </vt:variant>
      <vt:variant>
        <vt:i4>5</vt:i4>
      </vt:variant>
      <vt:variant>
        <vt:lpwstr>http://www.osteopathy.org.uk/uploads/consensual_disposal_consultation_diversity_questionnaire.doc</vt:lpwstr>
      </vt:variant>
      <vt:variant>
        <vt:lpwstr/>
      </vt:variant>
      <vt:variant>
        <vt:i4>5636147</vt:i4>
      </vt:variant>
      <vt:variant>
        <vt:i4>6</vt:i4>
      </vt:variant>
      <vt:variant>
        <vt:i4>0</vt:i4>
      </vt:variant>
      <vt:variant>
        <vt:i4>5</vt:i4>
      </vt:variant>
      <vt:variant>
        <vt:lpwstr>mailto:regulation@osteopathy.org.uk</vt:lpwstr>
      </vt:variant>
      <vt:variant>
        <vt:lpwstr/>
      </vt:variant>
      <vt:variant>
        <vt:i4>5636147</vt:i4>
      </vt:variant>
      <vt:variant>
        <vt:i4>3</vt:i4>
      </vt:variant>
      <vt:variant>
        <vt:i4>0</vt:i4>
      </vt:variant>
      <vt:variant>
        <vt:i4>5</vt:i4>
      </vt:variant>
      <vt:variant>
        <vt:lpwstr>mailto:regulation@osteopathy.org.uk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Margot Pinder (General Osteopathic Council)</cp:lastModifiedBy>
  <cp:revision>4</cp:revision>
  <cp:lastPrinted>2015-07-06T12:52:00Z</cp:lastPrinted>
  <dcterms:created xsi:type="dcterms:W3CDTF">2015-07-06T12:54:00Z</dcterms:created>
  <dcterms:modified xsi:type="dcterms:W3CDTF">2015-07-07T10:46:00Z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