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39" w:rsidRDefault="00940239" w:rsidP="00940239">
      <w:pPr>
        <w:rPr>
          <w:rFonts w:ascii="Franklin Gothic Book" w:eastAsia="Times New Roman" w:hAnsi="Franklin Gothic Book"/>
          <w:noProof/>
          <w:color w:val="auto"/>
          <w:sz w:val="22"/>
        </w:rPr>
      </w:pPr>
      <w:bookmarkStart w:id="0" w:name="_GoBack"/>
      <w:bookmarkEnd w:id="0"/>
    </w:p>
    <w:p w:rsidR="00940239" w:rsidRDefault="00940239" w:rsidP="00940239">
      <w:r w:rsidRPr="00513B9A">
        <w:rPr>
          <w:rFonts w:ascii="Franklin Gothic Book" w:eastAsia="Times New Roman" w:hAnsi="Franklin Gothic Book"/>
          <w:noProof/>
          <w:color w:val="auto"/>
          <w:sz w:val="22"/>
        </w:rPr>
        <w:drawing>
          <wp:inline distT="0" distB="0" distL="0" distR="0" wp14:anchorId="662A4C7D" wp14:editId="7FC551EA">
            <wp:extent cx="2076450" cy="89025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C_LogInt_CMYK 270808.GIF"/>
                    <pic:cNvPicPr/>
                  </pic:nvPicPr>
                  <pic:blipFill rotWithShape="1">
                    <a:blip r:embed="rId9" cstate="print">
                      <a:extLst>
                        <a:ext uri="{28A0092B-C50C-407E-A947-70E740481C1C}">
                          <a14:useLocalDpi xmlns:a14="http://schemas.microsoft.com/office/drawing/2010/main" val="0"/>
                        </a:ext>
                      </a:extLst>
                    </a:blip>
                    <a:srcRect l="1360" r="-1360"/>
                    <a:stretch/>
                  </pic:blipFill>
                  <pic:spPr>
                    <a:xfrm>
                      <a:off x="0" y="0"/>
                      <a:ext cx="2091919" cy="896887"/>
                    </a:xfrm>
                    <a:prstGeom prst="rect">
                      <a:avLst/>
                    </a:prstGeom>
                  </pic:spPr>
                </pic:pic>
              </a:graphicData>
            </a:graphic>
          </wp:inline>
        </w:drawing>
      </w:r>
    </w:p>
    <w:p w:rsidR="00940239" w:rsidRDefault="00940239" w:rsidP="00940239"/>
    <w:p w:rsidR="00DE06FE" w:rsidRDefault="00DE06FE" w:rsidP="00940239"/>
    <w:tbl>
      <w:tblPr>
        <w:tblStyle w:val="TableGrid"/>
        <w:tblW w:w="9408" w:type="dxa"/>
        <w:tblInd w:w="5" w:type="dxa"/>
        <w:shd w:val="clear" w:color="auto" w:fill="203C5E"/>
        <w:tblCellMar>
          <w:top w:w="2552" w:type="dxa"/>
          <w:left w:w="0" w:type="dxa"/>
          <w:bottom w:w="2438" w:type="dxa"/>
        </w:tblCellMar>
        <w:tblLook w:val="04A0" w:firstRow="1" w:lastRow="0" w:firstColumn="1" w:lastColumn="0" w:noHBand="0" w:noVBand="1"/>
      </w:tblPr>
      <w:tblGrid>
        <w:gridCol w:w="9408"/>
      </w:tblGrid>
      <w:tr w:rsidR="00940239" w:rsidRPr="00513B9A" w:rsidTr="00B20292">
        <w:trPr>
          <w:trHeight w:val="2797"/>
        </w:trPr>
        <w:tc>
          <w:tcPr>
            <w:tcW w:w="9408" w:type="dxa"/>
            <w:shd w:val="clear" w:color="auto" w:fill="203C5E"/>
          </w:tcPr>
          <w:p w:rsidR="00940239" w:rsidRPr="00513B9A" w:rsidRDefault="00940239" w:rsidP="00B20292">
            <w:pPr>
              <w:spacing w:after="120"/>
              <w:jc w:val="center"/>
              <w:rPr>
                <w:rFonts w:ascii="Franklin Gothic Demi" w:eastAsia="Times New Roman" w:hAnsi="Franklin Gothic Demi"/>
                <w:color w:val="0F243E"/>
                <w:sz w:val="48"/>
                <w:szCs w:val="48"/>
              </w:rPr>
            </w:pPr>
            <w:r>
              <w:rPr>
                <w:rFonts w:ascii="Franklin Gothic Demi" w:eastAsia="Times New Roman" w:hAnsi="Franklin Gothic Demi"/>
                <w:color w:val="FFFFFF"/>
                <w:sz w:val="104"/>
                <w:szCs w:val="104"/>
              </w:rPr>
              <w:t xml:space="preserve">Draft </w:t>
            </w:r>
            <w:r w:rsidRPr="00513B9A">
              <w:rPr>
                <w:rFonts w:ascii="Franklin Gothic Demi" w:eastAsia="Times New Roman" w:hAnsi="Franklin Gothic Demi"/>
                <w:color w:val="FFFFFF"/>
                <w:sz w:val="104"/>
                <w:szCs w:val="104"/>
              </w:rPr>
              <w:t>Hearings and Sanctions Guidance</w:t>
            </w:r>
          </w:p>
        </w:tc>
      </w:tr>
    </w:tbl>
    <w:p w:rsidR="00940239" w:rsidRPr="00513B9A" w:rsidRDefault="00940239" w:rsidP="00940239">
      <w:pPr>
        <w:spacing w:after="120"/>
        <w:rPr>
          <w:rFonts w:ascii="Franklin Gothic Book" w:eastAsia="Times New Roman" w:hAnsi="Franklin Gothic Book"/>
          <w:color w:val="0F243E"/>
          <w:sz w:val="22"/>
        </w:rPr>
      </w:pPr>
    </w:p>
    <w:p w:rsidR="00940239" w:rsidRPr="00513B9A" w:rsidRDefault="00940239" w:rsidP="00940239">
      <w:pPr>
        <w:spacing w:after="120"/>
        <w:ind w:left="3969"/>
        <w:jc w:val="right"/>
        <w:rPr>
          <w:rFonts w:ascii="Franklin Gothic Demi" w:eastAsia="Times New Roman" w:hAnsi="Franklin Gothic Demi"/>
          <w:color w:val="auto"/>
          <w:sz w:val="32"/>
          <w:szCs w:val="32"/>
        </w:rPr>
      </w:pPr>
      <w:r>
        <w:rPr>
          <w:rFonts w:ascii="Franklin Gothic Demi" w:eastAsia="Times New Roman" w:hAnsi="Franklin Gothic Demi"/>
          <w:color w:val="auto"/>
          <w:sz w:val="32"/>
          <w:szCs w:val="32"/>
        </w:rPr>
        <w:t xml:space="preserve">The General Osteopathic </w:t>
      </w:r>
      <w:r w:rsidRPr="00513B9A">
        <w:rPr>
          <w:rFonts w:ascii="Franklin Gothic Demi" w:eastAsia="Times New Roman" w:hAnsi="Franklin Gothic Demi"/>
          <w:color w:val="auto"/>
          <w:sz w:val="32"/>
          <w:szCs w:val="32"/>
        </w:rPr>
        <w:t xml:space="preserve">Council </w:t>
      </w:r>
    </w:p>
    <w:p w:rsidR="00940239" w:rsidRPr="00513B9A" w:rsidRDefault="00940239" w:rsidP="00940239">
      <w:pPr>
        <w:spacing w:after="120"/>
        <w:ind w:left="3969"/>
        <w:jc w:val="right"/>
        <w:rPr>
          <w:rFonts w:ascii="Franklin Gothic Book" w:eastAsia="Times New Roman" w:hAnsi="Franklin Gothic Book"/>
          <w:color w:val="auto"/>
          <w:sz w:val="32"/>
          <w:szCs w:val="32"/>
        </w:rPr>
      </w:pPr>
      <w:r w:rsidRPr="00513B9A">
        <w:rPr>
          <w:rFonts w:ascii="Franklin Gothic Book" w:eastAsia="Times New Roman" w:hAnsi="Franklin Gothic Book"/>
          <w:color w:val="auto"/>
          <w:sz w:val="32"/>
          <w:szCs w:val="32"/>
        </w:rPr>
        <w:t>020 7357 6655</w:t>
      </w:r>
    </w:p>
    <w:p w:rsidR="00940239" w:rsidRPr="00E15976" w:rsidRDefault="001E61A5" w:rsidP="00940239">
      <w:pPr>
        <w:tabs>
          <w:tab w:val="left" w:pos="4962"/>
        </w:tabs>
        <w:spacing w:after="120"/>
        <w:ind w:left="3969"/>
        <w:jc w:val="right"/>
        <w:rPr>
          <w:rFonts w:ascii="Franklin Gothic Book" w:eastAsia="Times New Roman" w:hAnsi="Franklin Gothic Book"/>
          <w:color w:val="auto"/>
          <w:sz w:val="32"/>
          <w:szCs w:val="32"/>
        </w:rPr>
      </w:pPr>
      <w:hyperlink r:id="rId10" w:history="1">
        <w:r w:rsidR="00940239" w:rsidRPr="00E27C9F">
          <w:rPr>
            <w:rStyle w:val="Hyperlink"/>
            <w:rFonts w:ascii="Franklin Gothic Book" w:eastAsia="Times New Roman" w:hAnsi="Franklin Gothic Book"/>
            <w:sz w:val="32"/>
            <w:szCs w:val="32"/>
          </w:rPr>
          <w:t>regulation@osteopathy.org.uk</w:t>
        </w:r>
      </w:hyperlink>
    </w:p>
    <w:p w:rsidR="00940239" w:rsidRPr="00E15976" w:rsidRDefault="00940239" w:rsidP="00940239">
      <w:pPr>
        <w:tabs>
          <w:tab w:val="left" w:pos="4962"/>
        </w:tabs>
        <w:spacing w:after="120"/>
        <w:ind w:left="4320"/>
        <w:jc w:val="right"/>
        <w:rPr>
          <w:rFonts w:ascii="Franklin Gothic Book" w:eastAsia="Times New Roman" w:hAnsi="Franklin Gothic Book"/>
          <w:color w:val="0F243E"/>
          <w:sz w:val="32"/>
          <w:szCs w:val="32"/>
        </w:rPr>
        <w:sectPr w:rsidR="00940239" w:rsidRPr="00E15976">
          <w:headerReference w:type="default" r:id="rId11"/>
          <w:footerReference w:type="default" r:id="rId12"/>
          <w:pgSz w:w="11906" w:h="16838"/>
          <w:pgMar w:top="1440" w:right="1440" w:bottom="1440" w:left="1440" w:header="708" w:footer="708" w:gutter="0"/>
          <w:cols w:space="708"/>
          <w:docGrid w:linePitch="360"/>
        </w:sectPr>
      </w:pPr>
      <w:r>
        <w:rPr>
          <w:rFonts w:ascii="Franklin Gothic Book" w:hAnsi="Franklin Gothic Book"/>
        </w:rPr>
        <w:tab/>
      </w:r>
      <w:hyperlink r:id="rId13" w:history="1">
        <w:r w:rsidRPr="00E27C9F">
          <w:rPr>
            <w:rStyle w:val="Hyperlink"/>
            <w:rFonts w:ascii="Franklin Gothic Book" w:eastAsia="Times New Roman" w:hAnsi="Franklin Gothic Book"/>
            <w:sz w:val="32"/>
            <w:szCs w:val="32"/>
          </w:rPr>
          <w:t>www.osteopathy.org.uk</w:t>
        </w:r>
      </w:hyperlink>
      <w:r>
        <w:rPr>
          <w:rFonts w:ascii="Franklin Gothic Book" w:eastAsia="Times New Roman" w:hAnsi="Franklin Gothic Book"/>
          <w:color w:val="396AA5"/>
          <w:sz w:val="32"/>
          <w:szCs w:val="32"/>
        </w:rPr>
        <w:t xml:space="preserve">  </w:t>
      </w:r>
    </w:p>
    <w:p w:rsidR="00940239" w:rsidRDefault="00940239" w:rsidP="00940239">
      <w:pPr>
        <w:spacing w:before="120" w:after="200"/>
        <w:ind w:left="357" w:hanging="357"/>
        <w:rPr>
          <w:rFonts w:eastAsia="Times New Roman"/>
          <w:b/>
          <w:color w:val="auto"/>
          <w:lang w:eastAsia="en-US"/>
        </w:rPr>
      </w:pPr>
      <w:r>
        <w:rPr>
          <w:rFonts w:eastAsia="Times New Roman"/>
          <w:b/>
          <w:color w:val="auto"/>
          <w:lang w:eastAsia="en-US"/>
        </w:rPr>
        <w:lastRenderedPageBreak/>
        <w:br w:type="page"/>
      </w:r>
    </w:p>
    <w:p w:rsidR="00940239" w:rsidRPr="00780A25" w:rsidRDefault="00940239" w:rsidP="009754CA">
      <w:pPr>
        <w:spacing w:after="120"/>
        <w:rPr>
          <w:rFonts w:eastAsia="Times New Roman"/>
          <w:b/>
          <w:color w:val="auto"/>
          <w:sz w:val="28"/>
          <w:lang w:eastAsia="en-US"/>
        </w:rPr>
      </w:pPr>
      <w:r w:rsidRPr="00780A25">
        <w:rPr>
          <w:rFonts w:eastAsia="Times New Roman"/>
          <w:b/>
          <w:color w:val="auto"/>
          <w:sz w:val="28"/>
          <w:lang w:eastAsia="en-US"/>
        </w:rPr>
        <w:lastRenderedPageBreak/>
        <w:t>Introduction</w:t>
      </w:r>
    </w:p>
    <w:p w:rsidR="00940239" w:rsidRPr="00EB148F" w:rsidRDefault="00940239" w:rsidP="009754CA">
      <w:pPr>
        <w:spacing w:before="120"/>
        <w:rPr>
          <w:rFonts w:eastAsia="Times New Roman"/>
          <w:color w:val="auto"/>
          <w:szCs w:val="36"/>
        </w:rPr>
      </w:pPr>
      <w:r w:rsidRPr="00EB148F">
        <w:rPr>
          <w:rFonts w:eastAsia="Times New Roman"/>
          <w:color w:val="auto"/>
          <w:szCs w:val="36"/>
        </w:rPr>
        <w:t xml:space="preserve">The General Osteopathic Council (GOsC) is the statutory regulator for the osteopathic profession in the United Kingdom. </w:t>
      </w:r>
    </w:p>
    <w:p w:rsidR="009754CA" w:rsidRDefault="00940239" w:rsidP="009754CA">
      <w:pPr>
        <w:spacing w:before="120" w:after="120"/>
        <w:rPr>
          <w:rFonts w:eastAsia="Times New Roman"/>
          <w:color w:val="auto"/>
          <w:lang w:eastAsia="en-US"/>
        </w:rPr>
      </w:pPr>
      <w:r w:rsidRPr="00EB148F">
        <w:rPr>
          <w:rFonts w:eastAsia="Times New Roman"/>
          <w:color w:val="auto"/>
          <w:lang w:eastAsia="en-US"/>
        </w:rPr>
        <w:t>This guidance relates to the GOsC’s fitness to practise function and in particular the work of its Profes</w:t>
      </w:r>
      <w:r w:rsidR="00B83F71">
        <w:rPr>
          <w:rFonts w:eastAsia="Times New Roman"/>
          <w:color w:val="auto"/>
          <w:lang w:eastAsia="en-US"/>
        </w:rPr>
        <w:t>sional Conduct Committee (PCC)</w:t>
      </w:r>
      <w:r w:rsidR="004624DA">
        <w:rPr>
          <w:rFonts w:eastAsia="Times New Roman"/>
          <w:color w:val="auto"/>
          <w:lang w:eastAsia="en-US"/>
        </w:rPr>
        <w:t>. It</w:t>
      </w:r>
      <w:r w:rsidR="00B83F71">
        <w:rPr>
          <w:rFonts w:eastAsia="Times New Roman"/>
          <w:color w:val="auto"/>
          <w:lang w:eastAsia="en-US"/>
        </w:rPr>
        <w:t xml:space="preserve"> </w:t>
      </w:r>
      <w:r w:rsidR="00B83F71" w:rsidRPr="00B83F71">
        <w:rPr>
          <w:rFonts w:eastAsia="Times New Roman"/>
          <w:color w:val="auto"/>
          <w:lang w:eastAsia="en-US"/>
        </w:rPr>
        <w:t xml:space="preserve">is designed to make parties to a hearing aware of the approach that will be taken by the PCC during the hearing and when imposing a sanction. The guidance is therefore </w:t>
      </w:r>
      <w:r w:rsidR="009754CA">
        <w:rPr>
          <w:rFonts w:eastAsia="Times New Roman"/>
          <w:color w:val="auto"/>
          <w:lang w:eastAsia="en-US"/>
        </w:rPr>
        <w:t>divided</w:t>
      </w:r>
      <w:r w:rsidR="009754CA" w:rsidRPr="00B83F71">
        <w:rPr>
          <w:rFonts w:eastAsia="Times New Roman"/>
          <w:color w:val="auto"/>
          <w:lang w:eastAsia="en-US"/>
        </w:rPr>
        <w:t xml:space="preserve"> </w:t>
      </w:r>
      <w:r w:rsidR="00B83F71" w:rsidRPr="00B83F71">
        <w:rPr>
          <w:rFonts w:eastAsia="Times New Roman"/>
          <w:color w:val="auto"/>
          <w:lang w:eastAsia="en-US"/>
        </w:rPr>
        <w:t xml:space="preserve">into two distinct parts: </w:t>
      </w:r>
    </w:p>
    <w:p w:rsidR="009754CA" w:rsidRPr="009754CA" w:rsidRDefault="00B83F71" w:rsidP="009754CA">
      <w:pPr>
        <w:pStyle w:val="ListParagraph"/>
        <w:numPr>
          <w:ilvl w:val="0"/>
          <w:numId w:val="32"/>
        </w:numPr>
        <w:spacing w:before="120" w:after="120"/>
        <w:ind w:left="357" w:hanging="357"/>
        <w:contextualSpacing w:val="0"/>
        <w:rPr>
          <w:rFonts w:eastAsia="Times New Roman"/>
          <w:color w:val="auto"/>
          <w:lang w:eastAsia="en-US"/>
        </w:rPr>
      </w:pPr>
      <w:r w:rsidRPr="009754CA">
        <w:rPr>
          <w:rFonts w:eastAsia="Times New Roman"/>
          <w:color w:val="auto"/>
          <w:lang w:eastAsia="en-US"/>
        </w:rPr>
        <w:t>the procedure that is followed at a hearing</w:t>
      </w:r>
    </w:p>
    <w:p w:rsidR="00B83F71" w:rsidRPr="009754CA" w:rsidRDefault="00B83F71" w:rsidP="009754CA">
      <w:pPr>
        <w:pStyle w:val="ListParagraph"/>
        <w:numPr>
          <w:ilvl w:val="0"/>
          <w:numId w:val="32"/>
        </w:numPr>
        <w:spacing w:before="120"/>
        <w:ind w:left="357" w:hanging="357"/>
        <w:contextualSpacing w:val="0"/>
        <w:rPr>
          <w:rFonts w:eastAsia="Times New Roman"/>
          <w:color w:val="auto"/>
          <w:lang w:eastAsia="en-US"/>
        </w:rPr>
      </w:pPr>
      <w:r w:rsidRPr="009754CA">
        <w:rPr>
          <w:rFonts w:eastAsia="Times New Roman"/>
          <w:color w:val="auto"/>
          <w:lang w:eastAsia="en-US"/>
        </w:rPr>
        <w:t xml:space="preserve">the framework within which the PCC will make decisions about sanctions. </w:t>
      </w:r>
    </w:p>
    <w:p w:rsidR="00940239" w:rsidRPr="00EB148F" w:rsidRDefault="00B83F71" w:rsidP="009754CA">
      <w:pPr>
        <w:spacing w:before="120"/>
        <w:rPr>
          <w:rFonts w:eastAsia="Times New Roman"/>
          <w:color w:val="auto"/>
          <w:lang w:eastAsia="en-US"/>
        </w:rPr>
      </w:pPr>
      <w:r>
        <w:rPr>
          <w:rFonts w:eastAsia="Times New Roman"/>
          <w:color w:val="auto"/>
          <w:lang w:eastAsia="en-US"/>
        </w:rPr>
        <w:t>The guidance can be used by anyone involved in, or interested in our</w:t>
      </w:r>
      <w:r w:rsidR="00940239" w:rsidRPr="00EB148F">
        <w:rPr>
          <w:rFonts w:eastAsia="Times New Roman"/>
          <w:color w:val="auto"/>
          <w:lang w:eastAsia="en-US"/>
        </w:rPr>
        <w:t xml:space="preserve"> fitness to practise hearing</w:t>
      </w:r>
      <w:r>
        <w:rPr>
          <w:rFonts w:eastAsia="Times New Roman"/>
          <w:color w:val="auto"/>
          <w:lang w:eastAsia="en-US"/>
        </w:rPr>
        <w:t>s, including the PCC,</w:t>
      </w:r>
      <w:r w:rsidR="00940239" w:rsidRPr="00EB148F">
        <w:rPr>
          <w:rFonts w:eastAsia="Times New Roman"/>
          <w:color w:val="auto"/>
          <w:lang w:eastAsia="en-US"/>
        </w:rPr>
        <w:t xml:space="preserve"> osteopaths and their legal representatives, professional bodies and members of the public.  </w:t>
      </w:r>
    </w:p>
    <w:p w:rsidR="00940239" w:rsidRPr="00EB148F" w:rsidRDefault="00B83F71" w:rsidP="009754CA">
      <w:pPr>
        <w:spacing w:before="120"/>
        <w:rPr>
          <w:rFonts w:eastAsia="Times New Roman"/>
          <w:color w:val="auto"/>
          <w:lang w:eastAsia="en-US"/>
        </w:rPr>
      </w:pPr>
      <w:r>
        <w:rPr>
          <w:rFonts w:eastAsia="Times New Roman"/>
          <w:color w:val="auto"/>
          <w:lang w:eastAsia="en-US"/>
        </w:rPr>
        <w:t>The guidance</w:t>
      </w:r>
      <w:r w:rsidR="00940239" w:rsidRPr="00EB148F">
        <w:rPr>
          <w:rFonts w:eastAsia="Times New Roman"/>
          <w:color w:val="auto"/>
          <w:lang w:eastAsia="en-US"/>
        </w:rPr>
        <w:t xml:space="preserve"> is not exhaustive, nor is it intended to restrict the PCC from exercising its own judgement. The PCC will judge each case on its particular merits and set sanctions accordingly. </w:t>
      </w:r>
    </w:p>
    <w:p w:rsidR="00940239" w:rsidRPr="00EB148F" w:rsidRDefault="00940239" w:rsidP="009754CA">
      <w:pPr>
        <w:spacing w:before="120"/>
        <w:rPr>
          <w:rFonts w:eastAsia="Times New Roman" w:cs="Times New Roman"/>
          <w:color w:val="auto"/>
          <w:szCs w:val="20"/>
        </w:rPr>
      </w:pPr>
      <w:r w:rsidRPr="00EB148F">
        <w:rPr>
          <w:rFonts w:eastAsia="Times New Roman" w:cs="Times New Roman"/>
          <w:color w:val="auto"/>
          <w:szCs w:val="20"/>
        </w:rPr>
        <w:t xml:space="preserve">The guidance is intended to be a ‘living document’ and will be amended from time to time, to take into account developments in case law and feedback from stakeholders, including the </w:t>
      </w:r>
      <w:r w:rsidR="00A73064" w:rsidRPr="00EB148F">
        <w:rPr>
          <w:rFonts w:eastAsia="Times New Roman" w:cs="Times New Roman"/>
          <w:color w:val="auto"/>
          <w:szCs w:val="20"/>
        </w:rPr>
        <w:t xml:space="preserve">Professional Standards Authority for Health and Social Care </w:t>
      </w:r>
      <w:r w:rsidRPr="00EB148F">
        <w:rPr>
          <w:rFonts w:eastAsia="Times New Roman" w:cs="Times New Roman"/>
          <w:color w:val="auto"/>
          <w:szCs w:val="20"/>
        </w:rPr>
        <w:t>(PSA).</w:t>
      </w:r>
    </w:p>
    <w:p w:rsidR="00940239" w:rsidRPr="00EB148F" w:rsidRDefault="00940239" w:rsidP="009754CA">
      <w:pPr>
        <w:spacing w:before="120" w:after="120"/>
        <w:rPr>
          <w:rFonts w:eastAsia="Times New Roman" w:cs="Times New Roman"/>
          <w:b/>
          <w:color w:val="auto"/>
          <w:szCs w:val="20"/>
        </w:rPr>
      </w:pPr>
      <w:r w:rsidRPr="00EB148F">
        <w:rPr>
          <w:rFonts w:eastAsia="Times New Roman" w:cs="Times New Roman"/>
          <w:b/>
          <w:color w:val="auto"/>
          <w:szCs w:val="20"/>
        </w:rPr>
        <w:t>Equality and Diversity Statement</w:t>
      </w:r>
    </w:p>
    <w:p w:rsidR="00940239" w:rsidRPr="00EB148F" w:rsidRDefault="00940239" w:rsidP="009754CA">
      <w:pPr>
        <w:spacing w:before="120" w:after="120"/>
        <w:contextualSpacing/>
        <w:rPr>
          <w:rFonts w:eastAsia="Times New Roman" w:cs="Times New Roman"/>
          <w:color w:val="auto"/>
          <w:szCs w:val="20"/>
        </w:rPr>
        <w:sectPr w:rsidR="00940239" w:rsidRPr="00EB148F" w:rsidSect="00381EA1">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40" w:right="1440" w:bottom="1440" w:left="1440" w:header="708" w:footer="567" w:gutter="0"/>
          <w:cols w:space="708"/>
          <w:docGrid w:linePitch="360"/>
        </w:sectPr>
      </w:pPr>
      <w:r w:rsidRPr="00EB148F">
        <w:rPr>
          <w:rFonts w:eastAsiaTheme="minorHAnsi"/>
          <w:color w:val="auto"/>
          <w:lang w:eastAsia="en-US"/>
        </w:rPr>
        <w:t xml:space="preserve">The GOsC is committed to ensuring that processes for dealing with concerns about osteopaths are just and fair. All those involved in our processes are required to be aware of and observe equality and human rights legislation. </w:t>
      </w:r>
      <w:r w:rsidR="009754CA">
        <w:rPr>
          <w:rFonts w:eastAsiaTheme="minorHAnsi"/>
          <w:color w:val="auto"/>
          <w:lang w:eastAsia="en-US"/>
        </w:rPr>
        <w:t>The d</w:t>
      </w:r>
      <w:r w:rsidRPr="00EB148F">
        <w:rPr>
          <w:rFonts w:eastAsiaTheme="minorHAnsi"/>
          <w:color w:val="auto"/>
          <w:lang w:eastAsia="en-US"/>
        </w:rPr>
        <w:t xml:space="preserve">ecision making of the Committee should be consistent and impartial, and comply with the aims of </w:t>
      </w:r>
      <w:r w:rsidR="001700C4">
        <w:rPr>
          <w:rFonts w:eastAsiaTheme="minorHAnsi"/>
          <w:color w:val="auto"/>
          <w:lang w:eastAsia="en-US"/>
        </w:rPr>
        <w:t xml:space="preserve">the public sector </w:t>
      </w:r>
      <w:r w:rsidR="00D917D9">
        <w:rPr>
          <w:rFonts w:eastAsiaTheme="minorHAnsi"/>
          <w:color w:val="auto"/>
          <w:lang w:eastAsia="en-US"/>
        </w:rPr>
        <w:t>E</w:t>
      </w:r>
      <w:r w:rsidR="001700C4">
        <w:rPr>
          <w:rFonts w:eastAsiaTheme="minorHAnsi"/>
          <w:color w:val="auto"/>
          <w:lang w:eastAsia="en-US"/>
        </w:rPr>
        <w:t xml:space="preserve">quality </w:t>
      </w:r>
      <w:r w:rsidR="00D917D9">
        <w:rPr>
          <w:rFonts w:eastAsiaTheme="minorHAnsi"/>
          <w:color w:val="auto"/>
          <w:lang w:eastAsia="en-US"/>
        </w:rPr>
        <w:t>D</w:t>
      </w:r>
      <w:r w:rsidR="001700C4">
        <w:rPr>
          <w:rFonts w:eastAsiaTheme="minorHAnsi"/>
          <w:color w:val="auto"/>
          <w:lang w:eastAsia="en-US"/>
        </w:rPr>
        <w:t>uty</w:t>
      </w:r>
      <w:r w:rsidR="005C6C9B">
        <w:rPr>
          <w:rFonts w:eastAsiaTheme="minorHAnsi"/>
          <w:color w:val="auto"/>
          <w:lang w:eastAsia="en-US"/>
        </w:rPr>
        <w:t>.</w:t>
      </w:r>
    </w:p>
    <w:p w:rsidR="00940239" w:rsidRPr="00381EA1" w:rsidRDefault="00940239" w:rsidP="00940239">
      <w:pPr>
        <w:rPr>
          <w:rFonts w:eastAsia="Times New Roman"/>
          <w:b/>
          <w:sz w:val="32"/>
          <w:szCs w:val="32"/>
          <w:lang w:eastAsia="en-US"/>
        </w:rPr>
      </w:pPr>
      <w:r w:rsidRPr="00381EA1">
        <w:rPr>
          <w:rFonts w:eastAsia="Times New Roman"/>
          <w:b/>
          <w:sz w:val="32"/>
          <w:szCs w:val="32"/>
          <w:lang w:eastAsia="en-US"/>
        </w:rPr>
        <w:lastRenderedPageBreak/>
        <w:t xml:space="preserve">Hearings </w:t>
      </w:r>
    </w:p>
    <w:p w:rsidR="00940239" w:rsidRPr="00EB148F" w:rsidRDefault="00940239" w:rsidP="009754CA">
      <w:pPr>
        <w:spacing w:after="120"/>
        <w:rPr>
          <w:rFonts w:eastAsia="Times New Roman"/>
          <w:b/>
          <w:color w:val="auto"/>
          <w:lang w:eastAsia="en-US"/>
        </w:rPr>
      </w:pPr>
      <w:r w:rsidRPr="00EB148F">
        <w:rPr>
          <w:rFonts w:eastAsia="Times New Roman"/>
          <w:b/>
          <w:color w:val="auto"/>
          <w:lang w:eastAsia="en-US"/>
        </w:rPr>
        <w:t>Professional Conduct Committee</w:t>
      </w:r>
      <w:r w:rsidR="00E63035">
        <w:rPr>
          <w:rFonts w:eastAsia="Times New Roman"/>
          <w:b/>
          <w:color w:val="auto"/>
          <w:lang w:eastAsia="en-US"/>
        </w:rPr>
        <w:t xml:space="preserve"> (PCC)</w:t>
      </w:r>
    </w:p>
    <w:p w:rsidR="00940239" w:rsidRPr="00EB148F" w:rsidRDefault="00940239" w:rsidP="00381EA1">
      <w:pPr>
        <w:spacing w:after="160"/>
        <w:rPr>
          <w:rFonts w:eastAsia="Times New Roman"/>
          <w:color w:val="auto"/>
          <w:lang w:eastAsia="en-US"/>
        </w:rPr>
      </w:pPr>
      <w:r w:rsidRPr="00EB148F">
        <w:rPr>
          <w:rFonts w:eastAsia="Times New Roman"/>
          <w:color w:val="auto"/>
          <w:lang w:eastAsia="en-US"/>
        </w:rPr>
        <w:t xml:space="preserve">The procedures adopted by the PCC are governed primarily by the </w:t>
      </w:r>
      <w:r w:rsidRPr="00E63035">
        <w:rPr>
          <w:rFonts w:eastAsia="Times New Roman"/>
          <w:i/>
          <w:color w:val="auto"/>
          <w:lang w:eastAsia="en-US"/>
        </w:rPr>
        <w:t>Osteopaths Act</w:t>
      </w:r>
      <w:r w:rsidR="00E63035" w:rsidRPr="00E63035">
        <w:rPr>
          <w:rFonts w:eastAsia="Times New Roman"/>
          <w:i/>
          <w:color w:val="auto"/>
          <w:lang w:eastAsia="en-US"/>
        </w:rPr>
        <w:t xml:space="preserve"> 1993</w:t>
      </w:r>
      <w:r w:rsidRPr="00EB148F">
        <w:rPr>
          <w:rFonts w:eastAsia="Times New Roman"/>
          <w:color w:val="auto"/>
          <w:lang w:eastAsia="en-US"/>
        </w:rPr>
        <w:t xml:space="preserve"> (the Act) and the GOsC (Professional Conduct Committee) (Proc</w:t>
      </w:r>
      <w:r>
        <w:rPr>
          <w:rFonts w:eastAsia="Times New Roman"/>
          <w:color w:val="auto"/>
          <w:lang w:eastAsia="en-US"/>
        </w:rPr>
        <w:t>edure) Rules 2000 (the Rules). Both t</w:t>
      </w:r>
      <w:r w:rsidRPr="00EB148F">
        <w:rPr>
          <w:rFonts w:eastAsia="Times New Roman"/>
          <w:color w:val="auto"/>
          <w:lang w:eastAsia="en-US"/>
        </w:rPr>
        <w:t xml:space="preserve">he </w:t>
      </w:r>
      <w:r w:rsidRPr="00E63035">
        <w:rPr>
          <w:rFonts w:eastAsia="Times New Roman"/>
          <w:i/>
          <w:color w:val="auto"/>
          <w:lang w:eastAsia="en-US"/>
        </w:rPr>
        <w:t>Human Rights Act 1998</w:t>
      </w:r>
      <w:r w:rsidRPr="00EB148F">
        <w:rPr>
          <w:rFonts w:eastAsia="Times New Roman"/>
          <w:color w:val="auto"/>
          <w:lang w:eastAsia="en-US"/>
        </w:rPr>
        <w:t xml:space="preserve"> </w:t>
      </w:r>
      <w:r>
        <w:rPr>
          <w:rFonts w:eastAsia="Times New Roman"/>
          <w:color w:val="auto"/>
          <w:lang w:eastAsia="en-US"/>
        </w:rPr>
        <w:t>and developments in case law also</w:t>
      </w:r>
      <w:r w:rsidRPr="00EB148F">
        <w:rPr>
          <w:rFonts w:eastAsia="Times New Roman"/>
          <w:color w:val="auto"/>
          <w:lang w:eastAsia="en-US"/>
        </w:rPr>
        <w:t xml:space="preserve"> impact on the way the PCC operates.</w:t>
      </w:r>
    </w:p>
    <w:p w:rsidR="00940239" w:rsidRPr="00EB148F" w:rsidRDefault="00940239" w:rsidP="00381EA1">
      <w:pPr>
        <w:spacing w:after="160"/>
        <w:rPr>
          <w:rFonts w:eastAsia="Times New Roman"/>
          <w:color w:val="auto"/>
          <w:lang w:eastAsia="en-US"/>
        </w:rPr>
      </w:pPr>
      <w:r w:rsidRPr="00EB148F">
        <w:rPr>
          <w:rFonts w:eastAsia="Times New Roman"/>
          <w:color w:val="auto"/>
          <w:lang w:eastAsia="en-US"/>
        </w:rPr>
        <w:t xml:space="preserve">Each hearing of the </w:t>
      </w:r>
      <w:r w:rsidR="009A4926">
        <w:rPr>
          <w:rFonts w:eastAsia="Times New Roman"/>
          <w:color w:val="auto"/>
          <w:lang w:eastAsia="en-US"/>
        </w:rPr>
        <w:t xml:space="preserve">PCC </w:t>
      </w:r>
      <w:r w:rsidRPr="00EB148F">
        <w:rPr>
          <w:rFonts w:eastAsia="Times New Roman"/>
          <w:color w:val="auto"/>
          <w:lang w:eastAsia="en-US"/>
        </w:rPr>
        <w:t>takes place before a panel comprising three members of the Committee. There will be at least one osteopath member and one lay member. The Chair must be a lay member.</w:t>
      </w:r>
    </w:p>
    <w:p w:rsidR="00722396" w:rsidRPr="00722396" w:rsidRDefault="00940239" w:rsidP="00381EA1">
      <w:pPr>
        <w:spacing w:after="160"/>
        <w:rPr>
          <w:rFonts w:eastAsia="Times New Roman"/>
          <w:color w:val="auto"/>
          <w:lang w:eastAsia="en-US"/>
        </w:rPr>
      </w:pPr>
      <w:r w:rsidRPr="00EB148F">
        <w:rPr>
          <w:rFonts w:eastAsia="Times New Roman"/>
          <w:color w:val="auto"/>
          <w:lang w:eastAsia="en-US"/>
        </w:rPr>
        <w:t>Hearings are usually held in public, unless there is a reason why some or all of it has to be held in private. This means that members of the public, including</w:t>
      </w:r>
      <w:r w:rsidR="00651B49">
        <w:rPr>
          <w:rFonts w:eastAsia="Times New Roman"/>
          <w:color w:val="auto"/>
          <w:lang w:eastAsia="en-US"/>
        </w:rPr>
        <w:t xml:space="preserve"> media representatives</w:t>
      </w:r>
      <w:r w:rsidRPr="00EB148F">
        <w:rPr>
          <w:rFonts w:eastAsia="Times New Roman"/>
          <w:color w:val="auto"/>
          <w:lang w:eastAsia="en-US"/>
        </w:rPr>
        <w:t xml:space="preserve">, are able to attend. </w:t>
      </w:r>
    </w:p>
    <w:p w:rsidR="00940239" w:rsidRDefault="00722396" w:rsidP="00DA5D37">
      <w:pPr>
        <w:spacing w:after="200"/>
        <w:rPr>
          <w:rFonts w:eastAsia="Times New Roman"/>
          <w:color w:val="auto"/>
          <w:lang w:eastAsia="en-US"/>
        </w:rPr>
      </w:pPr>
      <w:r w:rsidRPr="00722396">
        <w:rPr>
          <w:rFonts w:eastAsia="Times New Roman"/>
          <w:color w:val="auto"/>
          <w:lang w:eastAsia="en-US"/>
        </w:rPr>
        <w:t>The GOsC has produced a number of Pr</w:t>
      </w:r>
      <w:r>
        <w:rPr>
          <w:rFonts w:eastAsia="Times New Roman"/>
          <w:color w:val="auto"/>
          <w:lang w:eastAsia="en-US"/>
        </w:rPr>
        <w:t xml:space="preserve">actice Notes to assist the work of the PCC and the parties to a hearing. </w:t>
      </w:r>
      <w:r w:rsidRPr="00722396">
        <w:rPr>
          <w:rFonts w:eastAsia="Times New Roman"/>
          <w:color w:val="auto"/>
          <w:lang w:eastAsia="en-US"/>
        </w:rPr>
        <w:t>These are available on our website at:</w:t>
      </w:r>
      <w:r w:rsidR="00DA5D37">
        <w:rPr>
          <w:rFonts w:eastAsia="Times New Roman"/>
          <w:color w:val="auto"/>
          <w:lang w:eastAsia="en-US"/>
        </w:rPr>
        <w:t xml:space="preserve"> </w:t>
      </w:r>
      <w:hyperlink r:id="rId20" w:history="1">
        <w:r w:rsidR="009A4926" w:rsidRPr="009754CA">
          <w:rPr>
            <w:rStyle w:val="Hyperlink"/>
            <w:rFonts w:eastAsia="Times New Roman"/>
            <w:lang w:eastAsia="en-US"/>
          </w:rPr>
          <w:t>www.osteopathy.org.uk/standards/complaints/guidance-practice-notes-and-policies</w:t>
        </w:r>
      </w:hyperlink>
      <w:r w:rsidR="009A4926">
        <w:rPr>
          <w:rFonts w:eastAsia="Times New Roman"/>
          <w:color w:val="auto"/>
          <w:lang w:eastAsia="en-US"/>
        </w:rPr>
        <w:t xml:space="preserve"> </w:t>
      </w:r>
    </w:p>
    <w:p w:rsidR="00940239" w:rsidRPr="00EB148F" w:rsidRDefault="00940239" w:rsidP="00940239">
      <w:pPr>
        <w:spacing w:after="0"/>
        <w:rPr>
          <w:rFonts w:eastAsia="Times New Roman"/>
          <w:color w:val="auto"/>
          <w:lang w:eastAsia="en-US"/>
        </w:rPr>
      </w:pPr>
      <w:r w:rsidRPr="00EB148F">
        <w:rPr>
          <w:rFonts w:eastAsia="Times New Roman"/>
          <w:color w:val="auto"/>
          <w:lang w:eastAsia="en-US"/>
        </w:rPr>
        <w:t>The PCC</w:t>
      </w:r>
      <w:r w:rsidRPr="00EB148F">
        <w:rPr>
          <w:rFonts w:eastAsia="Times New Roman"/>
          <w:color w:val="auto"/>
          <w:vertAlign w:val="superscript"/>
          <w:lang w:eastAsia="en-US"/>
        </w:rPr>
        <w:footnoteReference w:id="1"/>
      </w:r>
      <w:r w:rsidRPr="00EB148F">
        <w:rPr>
          <w:rFonts w:eastAsia="Times New Roman"/>
          <w:color w:val="auto"/>
          <w:lang w:eastAsia="en-US"/>
        </w:rPr>
        <w:t xml:space="preserve"> considers an allegation against an osteopath which falls under the following categories:</w:t>
      </w:r>
    </w:p>
    <w:p w:rsidR="00940239" w:rsidRPr="00EB148F" w:rsidRDefault="00940239" w:rsidP="00381EA1">
      <w:pPr>
        <w:widowControl w:val="0"/>
        <w:numPr>
          <w:ilvl w:val="0"/>
          <w:numId w:val="16"/>
        </w:numPr>
        <w:tabs>
          <w:tab w:val="left" w:pos="-720"/>
          <w:tab w:val="left" w:pos="0"/>
        </w:tabs>
        <w:suppressAutoHyphens/>
        <w:autoSpaceDE w:val="0"/>
        <w:autoSpaceDN w:val="0"/>
        <w:adjustRightInd w:val="0"/>
        <w:spacing w:before="120" w:after="80"/>
        <w:ind w:left="425" w:hanging="425"/>
        <w:rPr>
          <w:spacing w:val="-3"/>
        </w:rPr>
      </w:pPr>
      <w:r w:rsidRPr="00EB148F">
        <w:rPr>
          <w:spacing w:val="-3"/>
        </w:rPr>
        <w:t>Unacceptable Professional Conduct</w:t>
      </w:r>
    </w:p>
    <w:p w:rsidR="00940239" w:rsidRPr="00EB148F" w:rsidRDefault="00940239" w:rsidP="00381EA1">
      <w:pPr>
        <w:widowControl w:val="0"/>
        <w:numPr>
          <w:ilvl w:val="0"/>
          <w:numId w:val="16"/>
        </w:numPr>
        <w:tabs>
          <w:tab w:val="left" w:pos="-720"/>
          <w:tab w:val="left" w:pos="0"/>
        </w:tabs>
        <w:suppressAutoHyphens/>
        <w:autoSpaceDE w:val="0"/>
        <w:autoSpaceDN w:val="0"/>
        <w:adjustRightInd w:val="0"/>
        <w:spacing w:before="80" w:after="80"/>
        <w:ind w:left="425" w:hanging="425"/>
        <w:rPr>
          <w:spacing w:val="-3"/>
        </w:rPr>
      </w:pPr>
      <w:r w:rsidRPr="00EB148F">
        <w:rPr>
          <w:spacing w:val="-3"/>
        </w:rPr>
        <w:t>Professional Incompetence</w:t>
      </w:r>
    </w:p>
    <w:p w:rsidR="00940239" w:rsidRPr="00EB148F" w:rsidRDefault="00940239" w:rsidP="00381EA1">
      <w:pPr>
        <w:widowControl w:val="0"/>
        <w:numPr>
          <w:ilvl w:val="0"/>
          <w:numId w:val="16"/>
        </w:numPr>
        <w:tabs>
          <w:tab w:val="left" w:pos="-720"/>
          <w:tab w:val="left" w:pos="0"/>
        </w:tabs>
        <w:suppressAutoHyphens/>
        <w:autoSpaceDE w:val="0"/>
        <w:autoSpaceDN w:val="0"/>
        <w:adjustRightInd w:val="0"/>
        <w:spacing w:before="80" w:after="80"/>
        <w:ind w:left="425" w:hanging="425"/>
        <w:rPr>
          <w:spacing w:val="-3"/>
        </w:rPr>
      </w:pPr>
      <w:r w:rsidRPr="00EB148F">
        <w:rPr>
          <w:spacing w:val="-3"/>
        </w:rPr>
        <w:t>Conviction (that has material relevance)</w:t>
      </w:r>
    </w:p>
    <w:p w:rsidR="00940239" w:rsidRPr="00EB148F" w:rsidRDefault="00940239" w:rsidP="00381EA1">
      <w:pPr>
        <w:widowControl w:val="0"/>
        <w:numPr>
          <w:ilvl w:val="0"/>
          <w:numId w:val="16"/>
        </w:numPr>
        <w:tabs>
          <w:tab w:val="left" w:pos="-720"/>
          <w:tab w:val="left" w:pos="0"/>
        </w:tabs>
        <w:suppressAutoHyphens/>
        <w:autoSpaceDE w:val="0"/>
        <w:autoSpaceDN w:val="0"/>
        <w:adjustRightInd w:val="0"/>
        <w:spacing w:before="80" w:after="80"/>
        <w:ind w:left="425" w:hanging="425"/>
        <w:rPr>
          <w:spacing w:val="-3"/>
        </w:rPr>
      </w:pPr>
      <w:r w:rsidRPr="00EB148F">
        <w:rPr>
          <w:spacing w:val="-3"/>
        </w:rPr>
        <w:t xml:space="preserve">The Registrant has been included in a barred list </w:t>
      </w:r>
    </w:p>
    <w:p w:rsidR="00940239" w:rsidRPr="00333176" w:rsidRDefault="00940239" w:rsidP="00381EA1">
      <w:pPr>
        <w:widowControl w:val="0"/>
        <w:numPr>
          <w:ilvl w:val="0"/>
          <w:numId w:val="16"/>
        </w:numPr>
        <w:tabs>
          <w:tab w:val="left" w:pos="-720"/>
          <w:tab w:val="left" w:pos="0"/>
        </w:tabs>
        <w:suppressAutoHyphens/>
        <w:autoSpaceDE w:val="0"/>
        <w:autoSpaceDN w:val="0"/>
        <w:adjustRightInd w:val="0"/>
        <w:spacing w:before="120" w:after="80"/>
        <w:ind w:left="425" w:hanging="425"/>
        <w:rPr>
          <w:spacing w:val="-3"/>
        </w:rPr>
      </w:pPr>
      <w:r w:rsidRPr="00EB148F">
        <w:rPr>
          <w:spacing w:val="-3"/>
        </w:rPr>
        <w:t>The Registrant has been included in the children’s or adult’s list.</w:t>
      </w:r>
    </w:p>
    <w:p w:rsidR="00940239" w:rsidRPr="00EB148F" w:rsidRDefault="00940239" w:rsidP="00381EA1">
      <w:pPr>
        <w:spacing w:before="200" w:after="160"/>
        <w:rPr>
          <w:rFonts w:eastAsia="Times New Roman"/>
          <w:b/>
          <w:color w:val="auto"/>
          <w:lang w:eastAsia="en-US"/>
        </w:rPr>
      </w:pPr>
      <w:r w:rsidRPr="00EB148F">
        <w:rPr>
          <w:rFonts w:eastAsia="Times New Roman"/>
          <w:b/>
          <w:color w:val="auto"/>
          <w:lang w:eastAsia="en-US"/>
        </w:rPr>
        <w:t>Overview of the PCC decision-making process</w:t>
      </w:r>
    </w:p>
    <w:p w:rsidR="00940239" w:rsidRPr="00EB148F" w:rsidRDefault="00940239" w:rsidP="00381EA1">
      <w:pPr>
        <w:spacing w:before="160" w:after="160"/>
        <w:rPr>
          <w:rFonts w:eastAsia="Times New Roman"/>
          <w:color w:val="auto"/>
          <w:lang w:eastAsia="en-US"/>
        </w:rPr>
      </w:pPr>
      <w:r w:rsidRPr="00EB148F">
        <w:rPr>
          <w:rFonts w:eastAsia="Times New Roman"/>
          <w:color w:val="auto"/>
          <w:lang w:eastAsia="en-US"/>
        </w:rPr>
        <w:t>The decision-making process is in three stages:</w:t>
      </w:r>
    </w:p>
    <w:p w:rsidR="00940239" w:rsidRPr="00EB148F" w:rsidRDefault="00651B49" w:rsidP="00E63035">
      <w:pPr>
        <w:spacing w:after="120"/>
        <w:rPr>
          <w:rFonts w:eastAsia="Times New Roman"/>
          <w:i/>
          <w:color w:val="auto"/>
          <w:lang w:val="en-US"/>
        </w:rPr>
      </w:pPr>
      <w:r>
        <w:rPr>
          <w:rFonts w:eastAsia="Times New Roman"/>
          <w:i/>
          <w:color w:val="auto"/>
          <w:lang w:val="en-US"/>
        </w:rPr>
        <w:t xml:space="preserve">1) </w:t>
      </w:r>
      <w:r w:rsidR="00940239" w:rsidRPr="00EB148F">
        <w:rPr>
          <w:rFonts w:eastAsia="Times New Roman"/>
          <w:i/>
          <w:color w:val="auto"/>
          <w:lang w:val="en-US"/>
        </w:rPr>
        <w:t xml:space="preserve">Findings of fact </w:t>
      </w:r>
    </w:p>
    <w:p w:rsidR="00940239" w:rsidRPr="00EB148F" w:rsidRDefault="00940239" w:rsidP="00381EA1">
      <w:pPr>
        <w:spacing w:after="160"/>
        <w:rPr>
          <w:rFonts w:eastAsia="Times New Roman"/>
          <w:color w:val="auto"/>
          <w:lang w:val="en-US"/>
        </w:rPr>
      </w:pPr>
      <w:r w:rsidRPr="00EB148F">
        <w:rPr>
          <w:rFonts w:eastAsia="Times New Roman"/>
          <w:color w:val="auto"/>
          <w:lang w:val="en-US"/>
        </w:rPr>
        <w:t xml:space="preserve">Where some or all of the facts alleged against the osteopath are in dispute, the PCC will need to first consider whether they find those facts proved. The GOsC bears the burden of proof. </w:t>
      </w:r>
      <w:r w:rsidRPr="00EB148F">
        <w:rPr>
          <w:rFonts w:eastAsia="Times New Roman"/>
          <w:color w:val="auto"/>
        </w:rPr>
        <w:t>The standard of proof which applies is called the ‘balance of probabili</w:t>
      </w:r>
      <w:r w:rsidR="004D4D05">
        <w:rPr>
          <w:rFonts w:eastAsia="Times New Roman"/>
          <w:color w:val="auto"/>
        </w:rPr>
        <w:t>ties’. This means that the PCC</w:t>
      </w:r>
      <w:r w:rsidRPr="00EB148F">
        <w:rPr>
          <w:rFonts w:eastAsia="Times New Roman"/>
          <w:color w:val="auto"/>
        </w:rPr>
        <w:t xml:space="preserve"> will only find</w:t>
      </w:r>
      <w:r w:rsidR="004D4D05">
        <w:rPr>
          <w:rFonts w:eastAsia="Times New Roman"/>
          <w:color w:val="auto"/>
        </w:rPr>
        <w:t xml:space="preserve"> the alleged fact ‘proved’ if they consider</w:t>
      </w:r>
      <w:r w:rsidRPr="00EB148F">
        <w:rPr>
          <w:rFonts w:eastAsia="Times New Roman"/>
          <w:color w:val="auto"/>
        </w:rPr>
        <w:t xml:space="preserve"> that it is more likely than not that it happened.</w:t>
      </w:r>
      <w:r w:rsidRPr="00EB148F">
        <w:rPr>
          <w:rFonts w:eastAsia="Times New Roman"/>
          <w:color w:val="auto"/>
          <w:lang w:val="en-US"/>
        </w:rPr>
        <w:t xml:space="preserve"> </w:t>
      </w:r>
    </w:p>
    <w:p w:rsidR="00DA5D37" w:rsidRDefault="00940239" w:rsidP="00381EA1">
      <w:pPr>
        <w:spacing w:after="160"/>
        <w:rPr>
          <w:rFonts w:eastAsia="Times New Roman"/>
          <w:color w:val="auto"/>
          <w:lang w:val="en-US"/>
        </w:rPr>
        <w:sectPr w:rsidR="00DA5D37" w:rsidSect="00381EA1">
          <w:headerReference w:type="default" r:id="rId21"/>
          <w:pgSz w:w="11906" w:h="16838"/>
          <w:pgMar w:top="1440" w:right="1440" w:bottom="1440" w:left="1440" w:header="708" w:footer="567" w:gutter="0"/>
          <w:cols w:space="708"/>
          <w:docGrid w:linePitch="360"/>
        </w:sectPr>
      </w:pPr>
      <w:r w:rsidRPr="00EB148F">
        <w:rPr>
          <w:rFonts w:eastAsia="Times New Roman"/>
          <w:color w:val="auto"/>
          <w:lang w:val="en-US"/>
        </w:rPr>
        <w:t>The Legal Assessor may provide the PCC with legal advice and the PCC will go into private sessi</w:t>
      </w:r>
      <w:r w:rsidR="004D4D05">
        <w:rPr>
          <w:rFonts w:eastAsia="Times New Roman"/>
          <w:color w:val="auto"/>
          <w:lang w:val="en-US"/>
        </w:rPr>
        <w:t>on to consider</w:t>
      </w:r>
      <w:r w:rsidRPr="00EB148F">
        <w:rPr>
          <w:rFonts w:eastAsia="Times New Roman"/>
          <w:color w:val="auto"/>
          <w:lang w:val="en-US"/>
        </w:rPr>
        <w:t xml:space="preserve"> </w:t>
      </w:r>
      <w:r w:rsidR="00E63035">
        <w:rPr>
          <w:rFonts w:eastAsia="Times New Roman"/>
          <w:color w:val="auto"/>
          <w:lang w:val="en-US"/>
        </w:rPr>
        <w:t xml:space="preserve">the </w:t>
      </w:r>
      <w:r w:rsidRPr="00EB148F">
        <w:rPr>
          <w:rFonts w:eastAsia="Times New Roman"/>
          <w:color w:val="auto"/>
          <w:lang w:val="en-US"/>
        </w:rPr>
        <w:t xml:space="preserve">findings of fact. If the PCC does not </w:t>
      </w:r>
      <w:r w:rsidR="004D4D05">
        <w:rPr>
          <w:rFonts w:eastAsia="Times New Roman"/>
          <w:color w:val="auto"/>
          <w:lang w:val="en-US"/>
        </w:rPr>
        <w:t>find any of the facts proved, they</w:t>
      </w:r>
      <w:r w:rsidRPr="00EB148F">
        <w:rPr>
          <w:rFonts w:eastAsia="Times New Roman"/>
          <w:color w:val="auto"/>
          <w:lang w:val="en-US"/>
        </w:rPr>
        <w:t xml:space="preserve"> will ask parties to return to the hearing room and formally announce the decision and the case will be concluded. Where the PCC finds some or all of the facts prove</w:t>
      </w:r>
      <w:r w:rsidR="004D4D05">
        <w:rPr>
          <w:rFonts w:eastAsia="Times New Roman"/>
          <w:color w:val="auto"/>
          <w:lang w:val="en-US"/>
        </w:rPr>
        <w:t>d, they</w:t>
      </w:r>
      <w:r w:rsidRPr="00EB148F">
        <w:rPr>
          <w:rFonts w:eastAsia="Times New Roman"/>
          <w:color w:val="auto"/>
          <w:lang w:val="en-US"/>
        </w:rPr>
        <w:t xml:space="preserve"> will ask parties to return to the hearing room so the Chair can formally announce the decision and reasons</w:t>
      </w:r>
      <w:r w:rsidR="00E63035">
        <w:rPr>
          <w:rFonts w:eastAsia="Times New Roman"/>
          <w:color w:val="auto"/>
          <w:lang w:val="en-US"/>
        </w:rPr>
        <w:t>. The hearing</w:t>
      </w:r>
      <w:r w:rsidRPr="00EB148F">
        <w:rPr>
          <w:rFonts w:eastAsia="Times New Roman"/>
          <w:color w:val="auto"/>
          <w:lang w:val="en-US"/>
        </w:rPr>
        <w:t xml:space="preserve"> will then progress to Stage 2. </w:t>
      </w:r>
    </w:p>
    <w:p w:rsidR="00940239" w:rsidRPr="00EB148F" w:rsidRDefault="00651B49" w:rsidP="00E63035">
      <w:pPr>
        <w:spacing w:after="120"/>
        <w:rPr>
          <w:rFonts w:eastAsia="Times New Roman"/>
          <w:color w:val="auto"/>
          <w:lang w:val="en-US"/>
        </w:rPr>
      </w:pPr>
      <w:r>
        <w:rPr>
          <w:rFonts w:eastAsia="Times New Roman"/>
          <w:i/>
          <w:color w:val="auto"/>
          <w:lang w:eastAsia="en-US"/>
        </w:rPr>
        <w:t xml:space="preserve">2) </w:t>
      </w:r>
      <w:r w:rsidR="00940239" w:rsidRPr="00EB148F">
        <w:rPr>
          <w:rFonts w:eastAsia="Times New Roman"/>
          <w:i/>
          <w:color w:val="auto"/>
          <w:lang w:eastAsia="en-US"/>
        </w:rPr>
        <w:t xml:space="preserve">Finding on allegation </w:t>
      </w:r>
    </w:p>
    <w:p w:rsidR="00940239" w:rsidRPr="00EB148F" w:rsidRDefault="00940239" w:rsidP="00940239">
      <w:pPr>
        <w:rPr>
          <w:rFonts w:eastAsia="Times New Roman"/>
          <w:color w:val="auto"/>
          <w:lang w:eastAsia="en-US"/>
        </w:rPr>
      </w:pPr>
      <w:r w:rsidRPr="00EB148F">
        <w:rPr>
          <w:rFonts w:eastAsia="Times New Roman"/>
          <w:color w:val="auto"/>
          <w:lang w:val="en-US" w:eastAsia="en-US"/>
        </w:rPr>
        <w:t>Once the PCC’s findings of fact have been announced, the GOsC’s Case Presenter and the Registrant will be invited to make submissions on unacceptable professional conduct</w:t>
      </w:r>
      <w:r w:rsidR="005C6C9B">
        <w:rPr>
          <w:rFonts w:eastAsia="Times New Roman"/>
          <w:color w:val="auto"/>
          <w:lang w:val="en-US" w:eastAsia="en-US"/>
        </w:rPr>
        <w:t>,</w:t>
      </w:r>
      <w:r w:rsidRPr="00EB148F">
        <w:rPr>
          <w:rFonts w:eastAsia="Times New Roman"/>
          <w:color w:val="auto"/>
          <w:lang w:eastAsia="en-US"/>
        </w:rPr>
        <w:t xml:space="preserve"> professional incompetence or whether a criminal conviction is material to the practice of osteopathy</w:t>
      </w:r>
      <w:r w:rsidRPr="00EB148F">
        <w:rPr>
          <w:rFonts w:eastAsia="Times New Roman"/>
          <w:color w:val="auto"/>
          <w:lang w:val="en-US" w:eastAsia="en-US"/>
        </w:rPr>
        <w:t xml:space="preserve">. </w:t>
      </w:r>
      <w:r w:rsidRPr="00EB148F">
        <w:rPr>
          <w:rFonts w:eastAsia="Times New Roman"/>
          <w:color w:val="auto"/>
          <w:lang w:eastAsia="en-US"/>
        </w:rPr>
        <w:t xml:space="preserve">This is a matter for the PCC’s judgement and is not a matter of proof. </w:t>
      </w:r>
    </w:p>
    <w:p w:rsidR="00940239" w:rsidRPr="00EB148F" w:rsidRDefault="00940239" w:rsidP="00940239">
      <w:pPr>
        <w:rPr>
          <w:rFonts w:eastAsia="Times New Roman"/>
          <w:color w:val="auto"/>
          <w:lang w:val="en-US"/>
        </w:rPr>
      </w:pPr>
      <w:r w:rsidRPr="00EB148F">
        <w:rPr>
          <w:rFonts w:eastAsia="Times New Roman"/>
          <w:color w:val="auto"/>
          <w:lang w:val="en-US"/>
        </w:rPr>
        <w:t>The Legal Assessor may provide the PCC with legal advice and the PCC will then ret</w:t>
      </w:r>
      <w:r w:rsidR="004D4D05">
        <w:rPr>
          <w:rFonts w:eastAsia="Times New Roman"/>
          <w:color w:val="auto"/>
          <w:lang w:val="en-US"/>
        </w:rPr>
        <w:t>ire in private to consider their</w:t>
      </w:r>
      <w:r w:rsidRPr="00EB148F">
        <w:rPr>
          <w:rFonts w:eastAsia="Times New Roman"/>
          <w:color w:val="auto"/>
          <w:lang w:val="en-US"/>
        </w:rPr>
        <w:t xml:space="preserve"> finding</w:t>
      </w:r>
      <w:r w:rsidR="004D4D05">
        <w:rPr>
          <w:rFonts w:eastAsia="Times New Roman"/>
          <w:color w:val="auto"/>
          <w:lang w:val="en-US"/>
        </w:rPr>
        <w:t>s</w:t>
      </w:r>
      <w:r w:rsidRPr="00EB148F">
        <w:rPr>
          <w:rFonts w:eastAsia="Times New Roman"/>
          <w:color w:val="auto"/>
          <w:lang w:val="en-US"/>
        </w:rPr>
        <w:t xml:space="preserve">. After the PCC has reached a decision, parties will be invited into the hearing room and the Chair of the </w:t>
      </w:r>
      <w:r w:rsidR="004D4D05">
        <w:rPr>
          <w:rFonts w:eastAsia="Times New Roman"/>
          <w:color w:val="auto"/>
          <w:lang w:val="en-US"/>
        </w:rPr>
        <w:t>PCC will announce the</w:t>
      </w:r>
      <w:r w:rsidRPr="00EB148F">
        <w:rPr>
          <w:rFonts w:eastAsia="Times New Roman"/>
          <w:color w:val="auto"/>
          <w:lang w:val="en-US"/>
        </w:rPr>
        <w:t xml:space="preserve"> decision. </w:t>
      </w:r>
    </w:p>
    <w:p w:rsidR="00940239" w:rsidRPr="00EB148F" w:rsidRDefault="00651B49" w:rsidP="00E63035">
      <w:pPr>
        <w:spacing w:after="120"/>
        <w:rPr>
          <w:rFonts w:eastAsia="Times New Roman"/>
          <w:i/>
          <w:color w:val="auto"/>
          <w:lang w:eastAsia="en-US"/>
        </w:rPr>
      </w:pPr>
      <w:r>
        <w:rPr>
          <w:rFonts w:eastAsia="Times New Roman"/>
          <w:i/>
          <w:color w:val="auto"/>
          <w:lang w:eastAsia="en-US"/>
        </w:rPr>
        <w:t xml:space="preserve">3) </w:t>
      </w:r>
      <w:r w:rsidR="00940239" w:rsidRPr="00EB148F">
        <w:rPr>
          <w:rFonts w:eastAsia="Times New Roman"/>
          <w:i/>
          <w:color w:val="auto"/>
          <w:lang w:eastAsia="en-US"/>
        </w:rPr>
        <w:t xml:space="preserve">Finding on sanction </w:t>
      </w:r>
    </w:p>
    <w:p w:rsidR="00940239" w:rsidRPr="00EB148F" w:rsidRDefault="00C11F9A" w:rsidP="00E63035">
      <w:pPr>
        <w:rPr>
          <w:rFonts w:eastAsia="Times New Roman"/>
          <w:color w:val="auto"/>
          <w:lang w:eastAsia="en-US"/>
        </w:rPr>
      </w:pPr>
      <w:r>
        <w:rPr>
          <w:rFonts w:eastAsia="Times New Roman"/>
          <w:color w:val="auto"/>
          <w:lang w:eastAsia="en-US"/>
        </w:rPr>
        <w:t>I</w:t>
      </w:r>
      <w:r w:rsidR="00940239" w:rsidRPr="00EB148F">
        <w:rPr>
          <w:rFonts w:eastAsia="Times New Roman"/>
          <w:color w:val="auto"/>
          <w:lang w:eastAsia="en-US"/>
        </w:rPr>
        <w:t>f the PCC find that the facts amount to unacceptable professional conduct</w:t>
      </w:r>
      <w:r w:rsidR="005C6C9B">
        <w:rPr>
          <w:rFonts w:eastAsia="Times New Roman"/>
          <w:color w:val="auto"/>
          <w:lang w:eastAsia="en-US"/>
        </w:rPr>
        <w:t>,</w:t>
      </w:r>
      <w:r w:rsidR="00940239" w:rsidRPr="00EB148F">
        <w:rPr>
          <w:rFonts w:eastAsia="Times New Roman"/>
          <w:color w:val="auto"/>
          <w:lang w:eastAsia="en-US"/>
        </w:rPr>
        <w:t xml:space="preserve"> professional incompetence or that a criminal conviction is material to the practice of os</w:t>
      </w:r>
      <w:r w:rsidR="004D4D05">
        <w:rPr>
          <w:rFonts w:eastAsia="Times New Roman"/>
          <w:color w:val="auto"/>
          <w:lang w:eastAsia="en-US"/>
        </w:rPr>
        <w:t>teopathy, they</w:t>
      </w:r>
      <w:r>
        <w:rPr>
          <w:rFonts w:eastAsia="Times New Roman"/>
          <w:color w:val="auto"/>
          <w:lang w:eastAsia="en-US"/>
        </w:rPr>
        <w:t xml:space="preserve"> will then hear</w:t>
      </w:r>
      <w:r w:rsidR="00940239" w:rsidRPr="00EB148F">
        <w:rPr>
          <w:rFonts w:eastAsia="Times New Roman"/>
          <w:color w:val="auto"/>
          <w:lang w:eastAsia="en-US"/>
        </w:rPr>
        <w:t xml:space="preserve"> any additional circumstances leading up to the allegations</w:t>
      </w:r>
      <w:r w:rsidR="00651B49">
        <w:rPr>
          <w:rFonts w:eastAsia="Times New Roman"/>
          <w:color w:val="auto"/>
          <w:lang w:eastAsia="en-US"/>
        </w:rPr>
        <w:t>. They will</w:t>
      </w:r>
      <w:r w:rsidR="00940239" w:rsidRPr="00EB148F">
        <w:rPr>
          <w:rFonts w:eastAsia="Times New Roman"/>
          <w:color w:val="auto"/>
          <w:lang w:eastAsia="en-US"/>
        </w:rPr>
        <w:t xml:space="preserve"> </w:t>
      </w:r>
      <w:r>
        <w:rPr>
          <w:rFonts w:eastAsia="Times New Roman"/>
          <w:color w:val="auto"/>
          <w:lang w:eastAsia="en-US"/>
        </w:rPr>
        <w:t xml:space="preserve">receive evidence </w:t>
      </w:r>
      <w:r w:rsidR="00940239" w:rsidRPr="00EB148F">
        <w:rPr>
          <w:rFonts w:eastAsia="Times New Roman"/>
          <w:color w:val="auto"/>
          <w:lang w:eastAsia="en-US"/>
        </w:rPr>
        <w:t>as to the character and previous history of the osteopath from the GOsC’s Case Presenter together with any mitigation from th</w:t>
      </w:r>
      <w:r w:rsidR="004D4D05">
        <w:rPr>
          <w:rFonts w:eastAsia="Times New Roman"/>
          <w:color w:val="auto"/>
          <w:lang w:eastAsia="en-US"/>
        </w:rPr>
        <w:t>e osteopath’s representative. They</w:t>
      </w:r>
      <w:r w:rsidR="00940239" w:rsidRPr="00EB148F">
        <w:rPr>
          <w:rFonts w:eastAsia="Times New Roman"/>
          <w:color w:val="auto"/>
          <w:lang w:eastAsia="en-US"/>
        </w:rPr>
        <w:t xml:space="preserve"> will also take account of submissions made by each party on the sanction to impose.</w:t>
      </w:r>
    </w:p>
    <w:p w:rsidR="00940239" w:rsidRPr="00EB148F" w:rsidRDefault="00940239" w:rsidP="00E63035">
      <w:pPr>
        <w:rPr>
          <w:rFonts w:eastAsia="Times New Roman"/>
          <w:color w:val="auto"/>
          <w:lang w:eastAsia="en-US"/>
        </w:rPr>
      </w:pPr>
      <w:r w:rsidRPr="00EB148F">
        <w:rPr>
          <w:rFonts w:eastAsia="Times New Roman"/>
          <w:color w:val="auto"/>
          <w:lang w:eastAsia="en-US"/>
        </w:rPr>
        <w:t>The Legal Assessor will then provide the PCC with legal advice</w:t>
      </w:r>
      <w:r>
        <w:rPr>
          <w:rFonts w:eastAsia="Times New Roman"/>
          <w:color w:val="auto"/>
          <w:lang w:eastAsia="en-US"/>
        </w:rPr>
        <w:t>,</w:t>
      </w:r>
      <w:r w:rsidRPr="00EB148F">
        <w:rPr>
          <w:rFonts w:eastAsia="Times New Roman"/>
          <w:color w:val="auto"/>
          <w:lang w:eastAsia="en-US"/>
        </w:rPr>
        <w:t xml:space="preserve"> before the PCC deliberate</w:t>
      </w:r>
      <w:r w:rsidR="00D917D9">
        <w:rPr>
          <w:rFonts w:eastAsia="Times New Roman"/>
          <w:color w:val="auto"/>
          <w:lang w:eastAsia="en-US"/>
        </w:rPr>
        <w:t>s</w:t>
      </w:r>
      <w:r w:rsidRPr="00EB148F">
        <w:rPr>
          <w:rFonts w:eastAsia="Times New Roman"/>
          <w:color w:val="auto"/>
          <w:lang w:eastAsia="en-US"/>
        </w:rPr>
        <w:t xml:space="preserve"> in private as to the appropriate sanction to impose. The PCC’s assessment will depend upon the individual facts and circumstances of each case. The PCC will then announce the sanction in public. </w:t>
      </w:r>
    </w:p>
    <w:p w:rsidR="00940239" w:rsidRPr="00EB148F" w:rsidRDefault="00940239" w:rsidP="00E63035">
      <w:pPr>
        <w:spacing w:after="120"/>
        <w:rPr>
          <w:rFonts w:eastAsia="Times New Roman"/>
          <w:color w:val="auto"/>
          <w:lang w:eastAsia="en-US"/>
        </w:rPr>
      </w:pPr>
      <w:r w:rsidRPr="00EB148F">
        <w:rPr>
          <w:rFonts w:eastAsia="Times New Roman"/>
          <w:lang w:eastAsia="en-US"/>
        </w:rPr>
        <w:t>If the PCC finds an allegation against an</w:t>
      </w:r>
      <w:r w:rsidR="004D4D05">
        <w:rPr>
          <w:rFonts w:eastAsia="Times New Roman"/>
          <w:lang w:eastAsia="en-US"/>
        </w:rPr>
        <w:t xml:space="preserve"> osteopath is well-founded, they</w:t>
      </w:r>
      <w:r w:rsidRPr="00EB148F">
        <w:rPr>
          <w:rFonts w:eastAsia="Times New Roman"/>
          <w:lang w:eastAsia="en-US"/>
        </w:rPr>
        <w:t xml:space="preserve"> must impose one of four sanctions on the osteopath:</w:t>
      </w:r>
    </w:p>
    <w:p w:rsidR="00940239" w:rsidRDefault="00950D90" w:rsidP="00E63035">
      <w:pPr>
        <w:numPr>
          <w:ilvl w:val="0"/>
          <w:numId w:val="17"/>
        </w:numPr>
        <w:spacing w:after="120"/>
        <w:ind w:left="425" w:hanging="425"/>
        <w:rPr>
          <w:rFonts w:eastAsia="Times New Roman"/>
          <w:lang w:eastAsia="en-US"/>
        </w:rPr>
      </w:pPr>
      <w:r>
        <w:rPr>
          <w:rFonts w:eastAsia="Times New Roman"/>
          <w:lang w:eastAsia="en-US"/>
        </w:rPr>
        <w:t>a</w:t>
      </w:r>
      <w:r w:rsidR="00940239" w:rsidRPr="00EB148F">
        <w:rPr>
          <w:rFonts w:eastAsia="Times New Roman"/>
          <w:lang w:eastAsia="en-US"/>
        </w:rPr>
        <w:t>dmonishment</w:t>
      </w:r>
    </w:p>
    <w:p w:rsidR="00940239" w:rsidRDefault="00940239" w:rsidP="00E63035">
      <w:pPr>
        <w:numPr>
          <w:ilvl w:val="0"/>
          <w:numId w:val="17"/>
        </w:numPr>
        <w:spacing w:after="120"/>
        <w:ind w:left="425" w:hanging="425"/>
        <w:rPr>
          <w:rFonts w:eastAsia="Times New Roman"/>
          <w:lang w:eastAsia="en-US"/>
        </w:rPr>
      </w:pPr>
      <w:r w:rsidRPr="00EB148F">
        <w:rPr>
          <w:rFonts w:eastAsia="Times New Roman"/>
          <w:lang w:eastAsia="en-US"/>
        </w:rPr>
        <w:t>imposition of conditions on the osteopath’s practice</w:t>
      </w:r>
    </w:p>
    <w:p w:rsidR="00940239" w:rsidRPr="00472912" w:rsidRDefault="00940239" w:rsidP="00E63035">
      <w:pPr>
        <w:numPr>
          <w:ilvl w:val="0"/>
          <w:numId w:val="17"/>
        </w:numPr>
        <w:spacing w:after="120"/>
        <w:ind w:left="425" w:hanging="425"/>
        <w:rPr>
          <w:rFonts w:eastAsia="Times New Roman"/>
          <w:lang w:eastAsia="en-US"/>
        </w:rPr>
      </w:pPr>
      <w:r w:rsidRPr="00EB148F">
        <w:rPr>
          <w:rFonts w:eastAsia="Times New Roman"/>
          <w:lang w:eastAsia="en-US"/>
        </w:rPr>
        <w:t>suspension from the Register</w:t>
      </w:r>
    </w:p>
    <w:p w:rsidR="00940239" w:rsidRPr="00EB148F" w:rsidRDefault="00940239" w:rsidP="00E63035">
      <w:pPr>
        <w:numPr>
          <w:ilvl w:val="0"/>
          <w:numId w:val="17"/>
        </w:numPr>
        <w:ind w:left="425" w:hanging="425"/>
        <w:rPr>
          <w:rFonts w:eastAsia="Times New Roman"/>
          <w:lang w:eastAsia="en-US"/>
        </w:rPr>
      </w:pPr>
      <w:r w:rsidRPr="00EB148F">
        <w:rPr>
          <w:rFonts w:eastAsia="Times New Roman"/>
          <w:lang w:eastAsia="en-US"/>
        </w:rPr>
        <w:t>removal from the Register</w:t>
      </w:r>
      <w:r w:rsidR="005D2D57">
        <w:rPr>
          <w:rFonts w:eastAsia="Times New Roman"/>
          <w:lang w:eastAsia="en-US"/>
        </w:rPr>
        <w:t>.</w:t>
      </w:r>
    </w:p>
    <w:p w:rsidR="00940239" w:rsidRPr="00EB148F" w:rsidRDefault="00940239" w:rsidP="00E63035">
      <w:pPr>
        <w:spacing w:before="120" w:after="120"/>
        <w:rPr>
          <w:rFonts w:eastAsia="Times New Roman"/>
          <w:b/>
          <w:color w:val="auto"/>
          <w:lang w:eastAsia="en-US"/>
        </w:rPr>
      </w:pPr>
      <w:r w:rsidRPr="00EB148F">
        <w:rPr>
          <w:rFonts w:eastAsia="Times New Roman"/>
          <w:b/>
          <w:color w:val="auto"/>
          <w:lang w:eastAsia="en-US"/>
        </w:rPr>
        <w:t xml:space="preserve">The </w:t>
      </w:r>
      <w:r w:rsidRPr="00E63035">
        <w:rPr>
          <w:rFonts w:eastAsia="Times New Roman"/>
          <w:b/>
          <w:i/>
          <w:color w:val="auto"/>
          <w:lang w:eastAsia="en-US"/>
        </w:rPr>
        <w:t>Osteopathic Practice Standards</w:t>
      </w:r>
      <w:r w:rsidR="00E63035">
        <w:rPr>
          <w:rFonts w:eastAsia="Times New Roman"/>
          <w:b/>
          <w:i/>
          <w:color w:val="auto"/>
          <w:lang w:eastAsia="en-US"/>
        </w:rPr>
        <w:t xml:space="preserve"> </w:t>
      </w:r>
      <w:r w:rsidR="00E63035" w:rsidRPr="00E63035">
        <w:rPr>
          <w:rFonts w:eastAsia="Times New Roman"/>
          <w:b/>
          <w:color w:val="auto"/>
          <w:lang w:eastAsia="en-US"/>
        </w:rPr>
        <w:t>(OPS)</w:t>
      </w:r>
    </w:p>
    <w:p w:rsidR="00940239" w:rsidRPr="00EB148F" w:rsidRDefault="00940239" w:rsidP="00E63035">
      <w:pPr>
        <w:autoSpaceDE w:val="0"/>
        <w:autoSpaceDN w:val="0"/>
        <w:adjustRightInd w:val="0"/>
        <w:rPr>
          <w:color w:val="auto"/>
          <w:lang w:val="en-US" w:eastAsia="en-US"/>
        </w:rPr>
      </w:pPr>
      <w:r w:rsidRPr="00EB148F">
        <w:rPr>
          <w:color w:val="auto"/>
          <w:lang w:val="en-US" w:eastAsia="en-US"/>
        </w:rPr>
        <w:t xml:space="preserve">The </w:t>
      </w:r>
      <w:r w:rsidRPr="00E63035">
        <w:rPr>
          <w:iCs/>
          <w:color w:val="auto"/>
          <w:lang w:val="en-US" w:eastAsia="en-US"/>
        </w:rPr>
        <w:t>OPS</w:t>
      </w:r>
      <w:r w:rsidRPr="00EB148F">
        <w:rPr>
          <w:i/>
          <w:iCs/>
          <w:color w:val="auto"/>
          <w:lang w:val="en-US" w:eastAsia="en-US"/>
        </w:rPr>
        <w:t xml:space="preserve"> </w:t>
      </w:r>
      <w:r w:rsidRPr="00EB148F">
        <w:rPr>
          <w:iCs/>
          <w:color w:val="auto"/>
          <w:lang w:val="en-US" w:eastAsia="en-US"/>
        </w:rPr>
        <w:t>contains</w:t>
      </w:r>
      <w:r w:rsidRPr="00EB148F">
        <w:rPr>
          <w:color w:val="auto"/>
          <w:lang w:val="en-US" w:eastAsia="en-US"/>
        </w:rPr>
        <w:t xml:space="preserve"> all the standards of conduct and competence required of osteopaths. </w:t>
      </w:r>
      <w:r w:rsidRPr="00EB148F">
        <w:t>The guidance sets out the principles of good practice.</w:t>
      </w:r>
      <w:r>
        <w:rPr>
          <w:color w:val="auto"/>
          <w:lang w:val="en-US" w:eastAsia="en-US"/>
        </w:rPr>
        <w:t xml:space="preserve"> It comprises both the </w:t>
      </w:r>
      <w:r w:rsidRPr="00DA5D37">
        <w:rPr>
          <w:i/>
          <w:color w:val="auto"/>
          <w:lang w:val="en-US" w:eastAsia="en-US"/>
        </w:rPr>
        <w:t>Standard of Proficiency</w:t>
      </w:r>
      <w:r w:rsidRPr="00EB148F">
        <w:rPr>
          <w:color w:val="auto"/>
          <w:lang w:val="en-US" w:eastAsia="en-US"/>
        </w:rPr>
        <w:t xml:space="preserve"> and the </w:t>
      </w:r>
      <w:r w:rsidRPr="00DA5D37">
        <w:rPr>
          <w:i/>
          <w:color w:val="auto"/>
          <w:lang w:val="en-US" w:eastAsia="en-US"/>
        </w:rPr>
        <w:t>Code of Practice</w:t>
      </w:r>
      <w:r>
        <w:rPr>
          <w:color w:val="auto"/>
          <w:lang w:val="en-US" w:eastAsia="en-US"/>
        </w:rPr>
        <w:t xml:space="preserve"> required by the Osteopaths Act</w:t>
      </w:r>
      <w:r w:rsidRPr="00EB148F">
        <w:rPr>
          <w:color w:val="auto"/>
          <w:lang w:val="en-US" w:eastAsia="en-US"/>
        </w:rPr>
        <w:t xml:space="preserve">. </w:t>
      </w:r>
    </w:p>
    <w:p w:rsidR="00940239" w:rsidRPr="00EB148F" w:rsidRDefault="00940239" w:rsidP="00E63035">
      <w:pPr>
        <w:autoSpaceDE w:val="0"/>
        <w:autoSpaceDN w:val="0"/>
        <w:adjustRightInd w:val="0"/>
        <w:rPr>
          <w:color w:val="auto"/>
          <w:lang w:val="en-US" w:eastAsia="en-US"/>
        </w:rPr>
      </w:pPr>
      <w:r w:rsidRPr="00EB148F">
        <w:rPr>
          <w:color w:val="auto"/>
          <w:lang w:val="en-US" w:eastAsia="en-US"/>
        </w:rPr>
        <w:t>The OPS</w:t>
      </w:r>
      <w:r w:rsidRPr="00EB148F">
        <w:t xml:space="preserve"> covers the fundamental aspects of an osteopath’s role required for the </w:t>
      </w:r>
      <w:r w:rsidRPr="00EB148F">
        <w:rPr>
          <w:color w:val="auto"/>
          <w:lang w:val="en-US" w:eastAsia="en-US"/>
        </w:rPr>
        <w:t>safe, competent and ethical practice of osteopathy. The PCC</w:t>
      </w:r>
      <w:r w:rsidRPr="00EB148F">
        <w:t xml:space="preserve"> must ensure that </w:t>
      </w:r>
      <w:r w:rsidR="009D6D17">
        <w:t>it is</w:t>
      </w:r>
      <w:r w:rsidRPr="00EB148F">
        <w:t xml:space="preserve"> familiar with this guidance when determining</w:t>
      </w:r>
      <w:r w:rsidRPr="00EB148F">
        <w:rPr>
          <w:color w:val="auto"/>
          <w:lang w:val="en-US" w:eastAsia="en-US"/>
        </w:rPr>
        <w:t xml:space="preserve"> unacceptable professional conduct and/or professional incompetence</w:t>
      </w:r>
      <w:r w:rsidRPr="00EB148F">
        <w:t xml:space="preserve"> and sanction, so </w:t>
      </w:r>
      <w:r w:rsidR="009D6D17">
        <w:t>it</w:t>
      </w:r>
      <w:r w:rsidR="009D6D17" w:rsidRPr="00EB148F">
        <w:t xml:space="preserve"> </w:t>
      </w:r>
      <w:r w:rsidRPr="00EB148F">
        <w:t>make</w:t>
      </w:r>
      <w:r w:rsidR="009D6D17">
        <w:t>s</w:t>
      </w:r>
      <w:r w:rsidRPr="00EB148F">
        <w:t xml:space="preserve"> appropriate, proportionate and fair decisions. </w:t>
      </w:r>
      <w:r w:rsidRPr="00EB148F">
        <w:rPr>
          <w:color w:val="auto"/>
          <w:lang w:val="en-US" w:eastAsia="en-US"/>
        </w:rPr>
        <w:t xml:space="preserve">However, </w:t>
      </w:r>
      <w:r w:rsidRPr="00EB148F">
        <w:t xml:space="preserve">a failure to follow the OPS does not automatically mean action will be taken against an osteopath. </w:t>
      </w:r>
    </w:p>
    <w:p w:rsidR="00DA5D37" w:rsidRDefault="00DA5D37" w:rsidP="00DA5D37">
      <w:pPr>
        <w:autoSpaceDE w:val="0"/>
        <w:autoSpaceDN w:val="0"/>
        <w:adjustRightInd w:val="0"/>
        <w:spacing w:after="120"/>
        <w:rPr>
          <w:rFonts w:eastAsia="Times New Roman"/>
          <w:b/>
          <w:color w:val="auto"/>
          <w:lang w:eastAsia="en-US"/>
        </w:rPr>
        <w:sectPr w:rsidR="00DA5D37" w:rsidSect="00950D90">
          <w:headerReference w:type="default" r:id="rId22"/>
          <w:pgSz w:w="11906" w:h="16838"/>
          <w:pgMar w:top="1440" w:right="1440" w:bottom="1440" w:left="1440" w:header="708" w:footer="567" w:gutter="0"/>
          <w:cols w:space="708"/>
          <w:docGrid w:linePitch="360"/>
        </w:sectPr>
      </w:pPr>
    </w:p>
    <w:p w:rsidR="00940239" w:rsidRPr="00EB148F" w:rsidRDefault="00940239" w:rsidP="00DA5D37">
      <w:pPr>
        <w:autoSpaceDE w:val="0"/>
        <w:autoSpaceDN w:val="0"/>
        <w:adjustRightInd w:val="0"/>
        <w:spacing w:after="120"/>
        <w:rPr>
          <w:color w:val="auto"/>
          <w:lang w:val="en-US" w:eastAsia="en-US"/>
        </w:rPr>
      </w:pPr>
      <w:r w:rsidRPr="00EB148F">
        <w:rPr>
          <w:rFonts w:eastAsia="Times New Roman"/>
          <w:b/>
          <w:color w:val="auto"/>
          <w:lang w:eastAsia="en-US"/>
        </w:rPr>
        <w:t>Findings available to the PCC</w:t>
      </w:r>
    </w:p>
    <w:p w:rsidR="00940239" w:rsidRPr="00EB148F" w:rsidRDefault="00940239" w:rsidP="00DA5D37">
      <w:pPr>
        <w:spacing w:after="120"/>
        <w:rPr>
          <w:rFonts w:eastAsia="Times New Roman"/>
          <w:i/>
          <w:color w:val="auto"/>
          <w:lang w:eastAsia="en-US"/>
        </w:rPr>
      </w:pPr>
      <w:r w:rsidRPr="00EB148F">
        <w:rPr>
          <w:rFonts w:eastAsia="Times New Roman"/>
          <w:i/>
          <w:color w:val="auto"/>
          <w:lang w:eastAsia="en-US"/>
        </w:rPr>
        <w:t>Unacceptable Professional Conduct</w:t>
      </w:r>
    </w:p>
    <w:p w:rsidR="00940239" w:rsidRPr="00EB148F" w:rsidRDefault="00940239" w:rsidP="00DA5D37">
      <w:pPr>
        <w:rPr>
          <w:rFonts w:eastAsia="Times New Roman"/>
          <w:color w:val="auto"/>
          <w:lang w:eastAsia="en-US"/>
        </w:rPr>
      </w:pPr>
      <w:r w:rsidRPr="00EB148F">
        <w:rPr>
          <w:rFonts w:eastAsia="Times New Roman"/>
          <w:color w:val="auto"/>
          <w:lang w:eastAsia="en-US"/>
        </w:rPr>
        <w:t>Unacceptable professional conduct is described in the</w:t>
      </w:r>
      <w:r w:rsidR="00DA5D37">
        <w:rPr>
          <w:rFonts w:eastAsia="Times New Roman"/>
          <w:color w:val="auto"/>
          <w:lang w:eastAsia="en-US"/>
        </w:rPr>
        <w:t xml:space="preserve"> Osteopaths</w:t>
      </w:r>
      <w:r w:rsidR="00DA5D37" w:rsidRPr="00EB148F">
        <w:rPr>
          <w:rFonts w:eastAsia="Times New Roman"/>
          <w:color w:val="auto"/>
          <w:lang w:eastAsia="en-US"/>
        </w:rPr>
        <w:t xml:space="preserve"> Act</w:t>
      </w:r>
      <w:r w:rsidRPr="00EB148F">
        <w:rPr>
          <w:rFonts w:eastAsia="Times New Roman"/>
          <w:color w:val="auto"/>
          <w:lang w:eastAsia="en-US"/>
        </w:rPr>
        <w:t xml:space="preserve"> as ‘conduct which falls short of the standard required of a registered</w:t>
      </w:r>
      <w:r w:rsidR="00DE7B51">
        <w:rPr>
          <w:rFonts w:eastAsia="Times New Roman"/>
          <w:color w:val="auto"/>
          <w:lang w:eastAsia="en-US"/>
        </w:rPr>
        <w:t xml:space="preserve"> osteopath’. When exercising </w:t>
      </w:r>
      <w:r w:rsidR="009D6D17">
        <w:rPr>
          <w:rFonts w:eastAsia="Times New Roman"/>
          <w:color w:val="auto"/>
          <w:lang w:eastAsia="en-US"/>
        </w:rPr>
        <w:t>its</w:t>
      </w:r>
      <w:r w:rsidR="009D6D17" w:rsidRPr="00EB148F">
        <w:rPr>
          <w:rFonts w:eastAsia="Times New Roman"/>
          <w:color w:val="auto"/>
          <w:lang w:eastAsia="en-US"/>
        </w:rPr>
        <w:t xml:space="preserve"> </w:t>
      </w:r>
      <w:r w:rsidRPr="00EB148F">
        <w:rPr>
          <w:rFonts w:eastAsia="Times New Roman"/>
          <w:color w:val="auto"/>
          <w:lang w:eastAsia="en-US"/>
        </w:rPr>
        <w:t>judgement as to whether the facts found proved amount to unacceptable professional conduct, the PCC should have regard to the</w:t>
      </w:r>
      <w:r w:rsidR="003A1794">
        <w:rPr>
          <w:rFonts w:eastAsia="Times New Roman"/>
          <w:color w:val="auto"/>
          <w:lang w:eastAsia="en-US"/>
        </w:rPr>
        <w:t xml:space="preserve"> judicial guidance </w:t>
      </w:r>
      <w:r w:rsidRPr="00EB148F">
        <w:rPr>
          <w:rFonts w:eastAsia="Times New Roman"/>
          <w:color w:val="auto"/>
          <w:lang w:eastAsia="en-US"/>
        </w:rPr>
        <w:t>in Spencer v General Osteopathic Council</w:t>
      </w:r>
      <w:r>
        <w:rPr>
          <w:rStyle w:val="FootnoteReference"/>
          <w:rFonts w:eastAsia="Times New Roman"/>
          <w:color w:val="auto"/>
          <w:lang w:eastAsia="en-US"/>
        </w:rPr>
        <w:footnoteReference w:id="2"/>
      </w:r>
      <w:r w:rsidR="00600C9E">
        <w:rPr>
          <w:rFonts w:eastAsia="Times New Roman"/>
          <w:color w:val="auto"/>
          <w:lang w:eastAsia="en-US"/>
        </w:rPr>
        <w:t>,</w:t>
      </w:r>
      <w:r w:rsidRPr="00EB148F">
        <w:rPr>
          <w:rFonts w:eastAsia="Times New Roman"/>
          <w:color w:val="auto"/>
          <w:lang w:eastAsia="en-US"/>
        </w:rPr>
        <w:t xml:space="preserve"> namely whether, to an ordinary intelligent citizen, such facts would convey an implication of moral blameworthiness and a degree of opprobrium. </w:t>
      </w:r>
    </w:p>
    <w:p w:rsidR="00940239" w:rsidRPr="00EB148F" w:rsidRDefault="00940239" w:rsidP="00DA5D37">
      <w:pPr>
        <w:rPr>
          <w:rFonts w:eastAsia="Times New Roman"/>
          <w:color w:val="auto"/>
          <w:lang w:eastAsia="en-US"/>
        </w:rPr>
      </w:pPr>
      <w:r w:rsidRPr="00EB148F">
        <w:rPr>
          <w:rFonts w:eastAsia="Times New Roman"/>
          <w:color w:val="auto"/>
          <w:lang w:eastAsia="en-US"/>
        </w:rPr>
        <w:t>The concept of unacceptable professional conduct has been further explored in Shaw v General Osteopathic Council.</w:t>
      </w:r>
      <w:r w:rsidRPr="00EB148F">
        <w:rPr>
          <w:rFonts w:eastAsia="Times New Roman"/>
          <w:color w:val="auto"/>
          <w:vertAlign w:val="superscript"/>
          <w:lang w:eastAsia="en-US"/>
        </w:rPr>
        <w:footnoteReference w:id="3"/>
      </w:r>
      <w:r w:rsidRPr="00EB148F">
        <w:rPr>
          <w:rFonts w:eastAsiaTheme="minorHAnsi"/>
          <w:color w:val="000000"/>
          <w:lang w:eastAsia="en-US"/>
        </w:rPr>
        <w:t xml:space="preserve"> </w:t>
      </w:r>
      <w:r w:rsidRPr="00EB148F">
        <w:rPr>
          <w:rFonts w:eastAsia="Times New Roman"/>
          <w:color w:val="auto"/>
          <w:lang w:eastAsia="en-US"/>
        </w:rPr>
        <w:t>In the course of his judgment, Mr Justice Kerr said the court should approach the concept of unacceptable professional conduct in the same way as the court did in Spencer</w:t>
      </w:r>
      <w:r w:rsidR="008A2741">
        <w:rPr>
          <w:rFonts w:eastAsia="Times New Roman"/>
          <w:color w:val="auto"/>
          <w:lang w:eastAsia="en-US"/>
        </w:rPr>
        <w:t>,</w:t>
      </w:r>
      <w:r w:rsidRPr="00EB148F">
        <w:rPr>
          <w:rFonts w:eastAsia="Times New Roman"/>
          <w:color w:val="auto"/>
          <w:lang w:eastAsia="en-US"/>
        </w:rPr>
        <w:t xml:space="preserve"> to the effect that the notion of moral blameworthiness is not an unnecessary gloss on the statutory language but, rather, flows directl</w:t>
      </w:r>
      <w:r>
        <w:rPr>
          <w:rFonts w:eastAsia="Times New Roman"/>
          <w:color w:val="auto"/>
          <w:lang w:eastAsia="en-US"/>
        </w:rPr>
        <w:t>y from the meaning of the word ‘</w:t>
      </w:r>
      <w:r w:rsidRPr="00EB148F">
        <w:rPr>
          <w:rFonts w:eastAsia="Times New Roman"/>
          <w:color w:val="auto"/>
          <w:lang w:eastAsia="en-US"/>
        </w:rPr>
        <w:t>conduct</w:t>
      </w:r>
      <w:r>
        <w:rPr>
          <w:rFonts w:eastAsia="Times New Roman"/>
          <w:color w:val="auto"/>
          <w:lang w:eastAsia="en-US"/>
        </w:rPr>
        <w:t>’</w:t>
      </w:r>
      <w:r w:rsidRPr="00EB148F">
        <w:rPr>
          <w:rFonts w:eastAsia="Times New Roman"/>
          <w:color w:val="auto"/>
          <w:lang w:eastAsia="en-US"/>
        </w:rPr>
        <w:t>. Accordingly, t</w:t>
      </w:r>
      <w:r w:rsidRPr="00EB148F">
        <w:rPr>
          <w:rFonts w:eastAsia="Times New Roman"/>
          <w:iCs/>
          <w:color w:val="auto"/>
          <w:lang w:eastAsia="en-US"/>
        </w:rPr>
        <w:t>he failings identified by the PCC must convey a degree</w:t>
      </w:r>
      <w:r w:rsidRPr="00EB148F">
        <w:rPr>
          <w:rFonts w:eastAsia="Times New Roman"/>
          <w:i/>
          <w:iCs/>
          <w:color w:val="auto"/>
          <w:lang w:eastAsia="en-US"/>
        </w:rPr>
        <w:t xml:space="preserve"> </w:t>
      </w:r>
      <w:r w:rsidRPr="00EB148F">
        <w:rPr>
          <w:rFonts w:eastAsia="Times New Roman"/>
          <w:iCs/>
          <w:color w:val="auto"/>
          <w:lang w:eastAsia="en-US"/>
        </w:rPr>
        <w:t>(albeit not a high degree)</w:t>
      </w:r>
      <w:r w:rsidRPr="00EB148F">
        <w:rPr>
          <w:rFonts w:eastAsia="Times New Roman"/>
          <w:b/>
          <w:iCs/>
          <w:color w:val="auto"/>
          <w:lang w:eastAsia="en-US"/>
        </w:rPr>
        <w:t xml:space="preserve"> </w:t>
      </w:r>
      <w:r w:rsidRPr="00EB148F">
        <w:rPr>
          <w:rFonts w:eastAsia="Times New Roman"/>
          <w:iCs/>
          <w:color w:val="auto"/>
          <w:lang w:eastAsia="en-US"/>
        </w:rPr>
        <w:t>of moral opprobrium</w:t>
      </w:r>
      <w:r w:rsidRPr="00EB148F">
        <w:rPr>
          <w:rFonts w:eastAsia="Times New Roman"/>
          <w:i/>
          <w:iCs/>
          <w:color w:val="auto"/>
          <w:lang w:eastAsia="en-US"/>
        </w:rPr>
        <w:t>.</w:t>
      </w:r>
    </w:p>
    <w:p w:rsidR="00940239" w:rsidRPr="00EB148F" w:rsidRDefault="00940239" w:rsidP="00DA5D37">
      <w:pPr>
        <w:rPr>
          <w:rFonts w:eastAsia="Times New Roman"/>
          <w:iCs/>
          <w:color w:val="auto"/>
          <w:lang w:eastAsia="en-US"/>
        </w:rPr>
      </w:pPr>
      <w:r w:rsidRPr="00EB148F">
        <w:rPr>
          <w:rFonts w:eastAsia="Times New Roman"/>
          <w:iCs/>
          <w:color w:val="auto"/>
          <w:lang w:eastAsia="en-US"/>
        </w:rPr>
        <w:t xml:space="preserve">In addressing the threshold to be reached for conduct to be </w:t>
      </w:r>
      <w:r>
        <w:rPr>
          <w:rFonts w:eastAsia="Times New Roman"/>
          <w:iCs/>
          <w:color w:val="auto"/>
          <w:lang w:eastAsia="en-US"/>
        </w:rPr>
        <w:t>‘</w:t>
      </w:r>
      <w:r w:rsidRPr="00EB148F">
        <w:rPr>
          <w:rFonts w:eastAsia="Times New Roman"/>
          <w:iCs/>
          <w:color w:val="auto"/>
          <w:lang w:eastAsia="en-US"/>
        </w:rPr>
        <w:t>serious</w:t>
      </w:r>
      <w:r>
        <w:rPr>
          <w:rFonts w:eastAsia="Times New Roman"/>
          <w:iCs/>
          <w:color w:val="auto"/>
          <w:lang w:eastAsia="en-US"/>
        </w:rPr>
        <w:t>’</w:t>
      </w:r>
      <w:r w:rsidRPr="00EB148F">
        <w:rPr>
          <w:rFonts w:eastAsia="Times New Roman"/>
          <w:iCs/>
          <w:color w:val="auto"/>
          <w:lang w:eastAsia="en-US"/>
        </w:rPr>
        <w:t xml:space="preserve">, </w:t>
      </w:r>
      <w:r w:rsidR="0091587E">
        <w:rPr>
          <w:rFonts w:eastAsia="Times New Roman"/>
          <w:iCs/>
          <w:color w:val="auto"/>
          <w:lang w:eastAsia="en-US"/>
        </w:rPr>
        <w:t xml:space="preserve">Mr Justice </w:t>
      </w:r>
      <w:r w:rsidRPr="00EB148F">
        <w:rPr>
          <w:rFonts w:eastAsia="Times New Roman"/>
          <w:iCs/>
          <w:color w:val="auto"/>
          <w:lang w:eastAsia="en-US"/>
        </w:rPr>
        <w:t>Kerr noted that although the word does not appear in the current statutory scheme relating to doctors, it formerly appeared in the legislation. Whil</w:t>
      </w:r>
      <w:r>
        <w:rPr>
          <w:rFonts w:eastAsia="Times New Roman"/>
          <w:iCs/>
          <w:color w:val="auto"/>
          <w:lang w:eastAsia="en-US"/>
        </w:rPr>
        <w:t>e</w:t>
      </w:r>
      <w:r w:rsidRPr="00EB148F">
        <w:rPr>
          <w:rFonts w:eastAsia="Times New Roman"/>
          <w:iCs/>
          <w:color w:val="auto"/>
          <w:lang w:eastAsia="en-US"/>
        </w:rPr>
        <w:t xml:space="preserve"> this does not lower the threshold required for misconduct, the conduct in question, to be unacceptable professional conduct, does not need to be of such gravity that an admonishment would be too lenient.</w:t>
      </w:r>
    </w:p>
    <w:p w:rsidR="00940239" w:rsidRPr="00472912" w:rsidRDefault="00940239" w:rsidP="00DA5D37">
      <w:pPr>
        <w:spacing w:before="120" w:after="120"/>
        <w:rPr>
          <w:rFonts w:eastAsia="Times New Roman"/>
          <w:i/>
          <w:color w:val="auto"/>
          <w:lang w:eastAsia="en-US"/>
        </w:rPr>
      </w:pPr>
      <w:r w:rsidRPr="00EB148F">
        <w:rPr>
          <w:rFonts w:eastAsia="Times New Roman"/>
          <w:i/>
          <w:color w:val="auto"/>
          <w:lang w:eastAsia="en-US"/>
        </w:rPr>
        <w:t>Professional Incompetence</w:t>
      </w:r>
    </w:p>
    <w:p w:rsidR="00940239" w:rsidRPr="00EB148F" w:rsidRDefault="00940239" w:rsidP="00DA5D37">
      <w:pPr>
        <w:autoSpaceDE w:val="0"/>
        <w:autoSpaceDN w:val="0"/>
        <w:adjustRightInd w:val="0"/>
        <w:rPr>
          <w:rFonts w:eastAsia="Times New Roman"/>
          <w:color w:val="auto"/>
          <w:lang w:eastAsia="en-US"/>
        </w:rPr>
      </w:pPr>
      <w:r w:rsidRPr="00EB148F">
        <w:rPr>
          <w:rFonts w:eastAsia="Times New Roman"/>
          <w:color w:val="auto"/>
          <w:lang w:eastAsia="en-US"/>
        </w:rPr>
        <w:t xml:space="preserve">While professional incompetence is not defined in the </w:t>
      </w:r>
      <w:r w:rsidR="00DA5D37">
        <w:rPr>
          <w:rFonts w:eastAsia="Times New Roman"/>
          <w:color w:val="auto"/>
          <w:lang w:eastAsia="en-US"/>
        </w:rPr>
        <w:t xml:space="preserve">Osteopaths </w:t>
      </w:r>
      <w:r w:rsidRPr="00EB148F">
        <w:rPr>
          <w:rFonts w:eastAsia="Times New Roman"/>
          <w:color w:val="auto"/>
          <w:lang w:eastAsia="en-US"/>
        </w:rPr>
        <w:t xml:space="preserve">Act, the PCC should have regard to the </w:t>
      </w:r>
      <w:r w:rsidRPr="00DA5D37">
        <w:rPr>
          <w:rFonts w:eastAsia="Times New Roman"/>
          <w:color w:val="auto"/>
          <w:lang w:eastAsia="en-US"/>
        </w:rPr>
        <w:t>OPS</w:t>
      </w:r>
      <w:r w:rsidRPr="00EB148F">
        <w:rPr>
          <w:rFonts w:eastAsia="Times New Roman"/>
          <w:color w:val="auto"/>
          <w:lang w:eastAsia="en-US"/>
        </w:rPr>
        <w:t xml:space="preserve"> when deciding whether the osteopath fell below the standards of proficiency that is required for the competent and safe practise of osteopathy. </w:t>
      </w:r>
    </w:p>
    <w:p w:rsidR="00940239" w:rsidRPr="00EB148F" w:rsidRDefault="00940239" w:rsidP="00DA5D37">
      <w:pPr>
        <w:autoSpaceDE w:val="0"/>
        <w:autoSpaceDN w:val="0"/>
        <w:adjustRightInd w:val="0"/>
        <w:rPr>
          <w:rFonts w:eastAsia="Times New Roman"/>
          <w:color w:val="auto"/>
          <w:lang w:eastAsia="en-US"/>
        </w:rPr>
      </w:pPr>
      <w:r w:rsidRPr="00EB148F">
        <w:rPr>
          <w:rFonts w:eastAsia="Times New Roman"/>
          <w:color w:val="auto"/>
          <w:lang w:eastAsia="en-US"/>
        </w:rPr>
        <w:t xml:space="preserve">Professional incompetence is a potentially wide concept (there is considerable overlap with unacceptable professional conduct) and extends to such matters as poor record keeping and poor maintenance of professional obligations. However, one isolated error would be unlikely to be serious enough to amount to professional incompetence. </w:t>
      </w:r>
    </w:p>
    <w:p w:rsidR="00E3571F" w:rsidRDefault="00940239" w:rsidP="00DA5D37">
      <w:pPr>
        <w:autoSpaceDE w:val="0"/>
        <w:autoSpaceDN w:val="0"/>
        <w:adjustRightInd w:val="0"/>
        <w:rPr>
          <w:rFonts w:eastAsia="Times New Roman"/>
          <w:color w:val="auto"/>
          <w:lang w:eastAsia="en-US"/>
        </w:rPr>
        <w:sectPr w:rsidR="00E3571F" w:rsidSect="00950D90">
          <w:pgSz w:w="11906" w:h="16838"/>
          <w:pgMar w:top="1440" w:right="1440" w:bottom="1440" w:left="1440" w:header="708" w:footer="567" w:gutter="0"/>
          <w:cols w:space="708"/>
          <w:docGrid w:linePitch="360"/>
        </w:sectPr>
      </w:pPr>
      <w:r w:rsidRPr="00EB148F">
        <w:rPr>
          <w:rFonts w:eastAsia="Times New Roman"/>
          <w:color w:val="auto"/>
          <w:lang w:eastAsia="en-US"/>
        </w:rPr>
        <w:t>It is unnecessary for the PCC to decide whether each individual</w:t>
      </w:r>
      <w:r w:rsidR="005C275A">
        <w:rPr>
          <w:rFonts w:eastAsia="Times New Roman"/>
          <w:color w:val="auto"/>
          <w:lang w:eastAsia="en-US"/>
        </w:rPr>
        <w:t xml:space="preserve"> </w:t>
      </w:r>
      <w:r w:rsidRPr="00EB148F">
        <w:rPr>
          <w:rFonts w:eastAsia="Times New Roman"/>
          <w:color w:val="auto"/>
          <w:lang w:eastAsia="en-US"/>
        </w:rPr>
        <w:t>particular</w:t>
      </w:r>
      <w:r w:rsidR="00B524B6">
        <w:rPr>
          <w:rFonts w:eastAsia="Times New Roman"/>
          <w:color w:val="auto"/>
          <w:lang w:eastAsia="en-US"/>
        </w:rPr>
        <w:t xml:space="preserve"> of allegation </w:t>
      </w:r>
      <w:r w:rsidRPr="00EB148F">
        <w:rPr>
          <w:rFonts w:eastAsia="Times New Roman"/>
          <w:color w:val="auto"/>
          <w:lang w:eastAsia="en-US"/>
        </w:rPr>
        <w:t>found proved</w:t>
      </w:r>
      <w:r w:rsidR="0091587E">
        <w:rPr>
          <w:rFonts w:eastAsia="Times New Roman"/>
          <w:color w:val="auto"/>
          <w:lang w:eastAsia="en-US"/>
        </w:rPr>
        <w:t>,</w:t>
      </w:r>
      <w:r w:rsidRPr="00EB148F">
        <w:rPr>
          <w:rFonts w:eastAsia="Times New Roman"/>
          <w:color w:val="auto"/>
          <w:lang w:eastAsia="en-US"/>
        </w:rPr>
        <w:t xml:space="preserve"> amounts to professional incompetence. What they should do is consider whether all the particulars found proved cumulatively amount to professional incompetence.</w:t>
      </w:r>
      <w:r w:rsidRPr="00EB148F">
        <w:rPr>
          <w:rFonts w:eastAsia="Times New Roman"/>
          <w:color w:val="auto"/>
          <w:vertAlign w:val="superscript"/>
          <w:lang w:eastAsia="en-US"/>
        </w:rPr>
        <w:footnoteReference w:id="4"/>
      </w:r>
    </w:p>
    <w:p w:rsidR="00940239" w:rsidRPr="00EB148F" w:rsidRDefault="00940239" w:rsidP="00E3571F">
      <w:pPr>
        <w:autoSpaceDE w:val="0"/>
        <w:autoSpaceDN w:val="0"/>
        <w:adjustRightInd w:val="0"/>
        <w:spacing w:after="120"/>
        <w:rPr>
          <w:rFonts w:eastAsia="Times New Roman"/>
          <w:color w:val="auto"/>
          <w:lang w:eastAsia="en-US"/>
        </w:rPr>
      </w:pPr>
      <w:r w:rsidRPr="00EB148F">
        <w:rPr>
          <w:rFonts w:eastAsia="Times New Roman"/>
          <w:color w:val="auto"/>
          <w:lang w:eastAsia="en-US"/>
        </w:rPr>
        <w:t>Additionally, the following principles derived from case law in comparable professional regulatory statutory schemes may assist the PCC in determining whether the particulars found proved amount to professional incompetence:</w:t>
      </w:r>
    </w:p>
    <w:p w:rsidR="00940239" w:rsidRPr="00E05219" w:rsidRDefault="00940239" w:rsidP="00E3571F">
      <w:pPr>
        <w:numPr>
          <w:ilvl w:val="0"/>
          <w:numId w:val="18"/>
        </w:numPr>
        <w:autoSpaceDE w:val="0"/>
        <w:autoSpaceDN w:val="0"/>
        <w:adjustRightInd w:val="0"/>
        <w:spacing w:after="120"/>
        <w:ind w:left="426" w:hanging="426"/>
        <w:rPr>
          <w:color w:val="auto"/>
          <w:lang w:val="en-US" w:eastAsia="en-US"/>
        </w:rPr>
      </w:pPr>
      <w:r w:rsidRPr="00EB148F">
        <w:rPr>
          <w:rFonts w:eastAsia="Times New Roman"/>
          <w:color w:val="auto"/>
          <w:lang w:eastAsia="en-US"/>
        </w:rPr>
        <w:t>it is conceptually different to unacceptable professional conduct and negligence</w:t>
      </w:r>
      <w:r w:rsidR="0075529C">
        <w:rPr>
          <w:rFonts w:eastAsia="Times New Roman"/>
          <w:color w:val="auto"/>
          <w:lang w:eastAsia="en-US"/>
        </w:rPr>
        <w:t>,</w:t>
      </w:r>
      <w:r w:rsidRPr="00EB148F">
        <w:rPr>
          <w:rFonts w:eastAsia="Times New Roman"/>
          <w:color w:val="auto"/>
          <w:lang w:eastAsia="en-US"/>
        </w:rPr>
        <w:t xml:space="preserve"> and connotes a standard of professional performance which is unacceptably low and which (save in exceptional circumstances) has been demonstrated by reference to a fair sample of the osteopath’s work</w:t>
      </w:r>
    </w:p>
    <w:p w:rsidR="00940239" w:rsidRDefault="00940239" w:rsidP="00E3571F">
      <w:pPr>
        <w:numPr>
          <w:ilvl w:val="0"/>
          <w:numId w:val="18"/>
        </w:numPr>
        <w:autoSpaceDE w:val="0"/>
        <w:autoSpaceDN w:val="0"/>
        <w:adjustRightInd w:val="0"/>
        <w:spacing w:after="120"/>
        <w:ind w:left="426" w:hanging="426"/>
        <w:rPr>
          <w:color w:val="auto"/>
          <w:lang w:val="en-US" w:eastAsia="en-US"/>
        </w:rPr>
      </w:pPr>
      <w:r w:rsidRPr="00EB148F">
        <w:rPr>
          <w:color w:val="auto"/>
          <w:lang w:val="en-US" w:eastAsia="en-US"/>
        </w:rPr>
        <w:t>a single instance of negligent treatment, unless serious indeed, would be unlikely to constitute professional incompetence</w:t>
      </w:r>
    </w:p>
    <w:p w:rsidR="00940239" w:rsidRPr="00EB148F" w:rsidRDefault="00940239" w:rsidP="00E3571F">
      <w:pPr>
        <w:numPr>
          <w:ilvl w:val="0"/>
          <w:numId w:val="18"/>
        </w:numPr>
        <w:autoSpaceDE w:val="0"/>
        <w:autoSpaceDN w:val="0"/>
        <w:adjustRightInd w:val="0"/>
        <w:ind w:left="426" w:hanging="426"/>
        <w:rPr>
          <w:color w:val="auto"/>
          <w:lang w:val="en-US" w:eastAsia="en-US"/>
        </w:rPr>
      </w:pPr>
      <w:r w:rsidRPr="00EB148F">
        <w:rPr>
          <w:color w:val="auto"/>
          <w:lang w:val="en-US" w:eastAsia="en-US"/>
        </w:rPr>
        <w:t>it is not necessary or appropriate to extend the interpretation of professional incompetence in order to encompass matters which constitute unacceptable professional conduct.</w:t>
      </w:r>
      <w:r w:rsidRPr="00EB148F">
        <w:rPr>
          <w:color w:val="auto"/>
          <w:vertAlign w:val="superscript"/>
          <w:lang w:val="en-US" w:eastAsia="en-US"/>
        </w:rPr>
        <w:footnoteReference w:id="5"/>
      </w:r>
    </w:p>
    <w:p w:rsidR="00940239" w:rsidRPr="00EB148F" w:rsidRDefault="00940239" w:rsidP="00E3571F">
      <w:pPr>
        <w:spacing w:after="120"/>
        <w:rPr>
          <w:rFonts w:eastAsia="Times New Roman"/>
          <w:i/>
          <w:color w:val="auto"/>
          <w:lang w:eastAsia="en-US"/>
        </w:rPr>
      </w:pPr>
      <w:r w:rsidRPr="00EB148F">
        <w:rPr>
          <w:rFonts w:eastAsia="Times New Roman"/>
          <w:i/>
          <w:color w:val="auto"/>
          <w:lang w:eastAsia="en-US"/>
        </w:rPr>
        <w:t>Criminal Offence</w:t>
      </w:r>
    </w:p>
    <w:p w:rsidR="00940239" w:rsidRPr="00EB148F" w:rsidRDefault="00940239" w:rsidP="00E3571F">
      <w:pPr>
        <w:rPr>
          <w:rFonts w:eastAsia="Times New Roman"/>
          <w:color w:val="auto"/>
          <w:lang w:eastAsia="en-US"/>
        </w:rPr>
      </w:pPr>
      <w:r w:rsidRPr="00EB148F">
        <w:rPr>
          <w:rFonts w:eastAsia="Times New Roman"/>
          <w:color w:val="auto"/>
          <w:lang w:eastAsia="en-US"/>
        </w:rPr>
        <w:t xml:space="preserve">‘Convicted of a Criminal Offence in the United Kingdom (UK)’ refers to a determination by a criminal court in the UK. The PCC is able to consider any conviction that is referred to it, even if the offence did not relate to the osteopath’s practice. </w:t>
      </w:r>
    </w:p>
    <w:p w:rsidR="00940239" w:rsidRPr="00EB148F" w:rsidRDefault="00940239" w:rsidP="00E3571F">
      <w:pPr>
        <w:rPr>
          <w:rFonts w:eastAsia="Times New Roman"/>
          <w:color w:val="auto"/>
          <w:lang w:eastAsia="en-US"/>
        </w:rPr>
      </w:pPr>
      <w:r w:rsidRPr="00EB148F">
        <w:rPr>
          <w:rFonts w:eastAsia="Times New Roman"/>
          <w:color w:val="auto"/>
          <w:lang w:eastAsia="en-US"/>
        </w:rPr>
        <w:t xml:space="preserve">The purpose of considering a conviction is not to punish the osteopath for a second time. </w:t>
      </w:r>
      <w:r w:rsidR="0075529C">
        <w:rPr>
          <w:rFonts w:eastAsia="Times New Roman"/>
          <w:color w:val="auto"/>
          <w:lang w:eastAsia="en-US"/>
        </w:rPr>
        <w:t>Indeed</w:t>
      </w:r>
      <w:r w:rsidRPr="00EB148F">
        <w:rPr>
          <w:rFonts w:eastAsia="Times New Roman"/>
          <w:color w:val="auto"/>
          <w:lang w:eastAsia="en-US"/>
        </w:rPr>
        <w:t xml:space="preserve">, </w:t>
      </w:r>
      <w:r w:rsidR="0075529C">
        <w:rPr>
          <w:rFonts w:eastAsia="Times New Roman"/>
          <w:color w:val="auto"/>
          <w:lang w:eastAsia="en-US"/>
        </w:rPr>
        <w:t>the PCC</w:t>
      </w:r>
      <w:r w:rsidR="0075529C" w:rsidRPr="00EB148F">
        <w:rPr>
          <w:rFonts w:eastAsia="Times New Roman"/>
          <w:color w:val="auto"/>
          <w:lang w:eastAsia="en-US"/>
        </w:rPr>
        <w:t xml:space="preserve"> </w:t>
      </w:r>
      <w:r w:rsidRPr="00EB148F">
        <w:rPr>
          <w:rFonts w:eastAsia="Times New Roman"/>
          <w:color w:val="auto"/>
          <w:lang w:eastAsia="en-US"/>
        </w:rPr>
        <w:t xml:space="preserve">may find that the criminal offence in question has no material relevance to the fitness of the osteopath concerned to practise osteopathy. </w:t>
      </w:r>
      <w:r w:rsidR="0075529C" w:rsidRPr="00EB148F">
        <w:rPr>
          <w:rFonts w:eastAsia="Times New Roman"/>
          <w:color w:val="auto"/>
          <w:lang w:eastAsia="en-US"/>
        </w:rPr>
        <w:t xml:space="preserve">The PCC is </w:t>
      </w:r>
      <w:r w:rsidR="003F4C93">
        <w:rPr>
          <w:rFonts w:eastAsia="Times New Roman"/>
          <w:color w:val="auto"/>
          <w:lang w:eastAsia="en-US"/>
        </w:rPr>
        <w:t xml:space="preserve">primarily </w:t>
      </w:r>
      <w:r w:rsidR="0075529C" w:rsidRPr="00EB148F">
        <w:rPr>
          <w:rFonts w:eastAsia="Times New Roman"/>
          <w:color w:val="auto"/>
          <w:lang w:eastAsia="en-US"/>
        </w:rPr>
        <w:t>concerned with protecting the public interest.</w:t>
      </w:r>
    </w:p>
    <w:p w:rsidR="00940239" w:rsidRPr="00EB148F" w:rsidRDefault="00940239" w:rsidP="00E3571F">
      <w:pPr>
        <w:spacing w:after="120"/>
        <w:rPr>
          <w:rFonts w:eastAsia="Times New Roman"/>
          <w:i/>
          <w:color w:val="auto"/>
          <w:lang w:eastAsia="en-US"/>
        </w:rPr>
      </w:pPr>
      <w:r w:rsidRPr="00EB148F">
        <w:rPr>
          <w:rFonts w:eastAsia="Times New Roman"/>
          <w:i/>
          <w:color w:val="auto"/>
          <w:lang w:eastAsia="en-US"/>
        </w:rPr>
        <w:t>Cautions for criminal offences</w:t>
      </w:r>
    </w:p>
    <w:p w:rsidR="00940239" w:rsidRPr="00EB148F" w:rsidRDefault="00940239" w:rsidP="00E3571F">
      <w:pPr>
        <w:rPr>
          <w:rFonts w:eastAsia="Times New Roman"/>
          <w:color w:val="auto"/>
          <w:lang w:eastAsia="en-US"/>
        </w:rPr>
      </w:pPr>
      <w:r w:rsidRPr="00EB148F">
        <w:rPr>
          <w:rFonts w:eastAsia="Times New Roman"/>
          <w:color w:val="auto"/>
          <w:lang w:eastAsia="en-US"/>
        </w:rPr>
        <w:t xml:space="preserve">A </w:t>
      </w:r>
      <w:r w:rsidR="0075529C">
        <w:rPr>
          <w:rFonts w:eastAsia="Times New Roman"/>
          <w:color w:val="auto"/>
          <w:lang w:eastAsia="en-US"/>
        </w:rPr>
        <w:t>c</w:t>
      </w:r>
      <w:r w:rsidRPr="00EB148F">
        <w:rPr>
          <w:rFonts w:eastAsia="Times New Roman"/>
          <w:color w:val="auto"/>
          <w:lang w:eastAsia="en-US"/>
        </w:rPr>
        <w:t>aution for a criminal offence may lead to an allegation that the registrant has been guilty of Unacceptable Professional Conduct.</w:t>
      </w:r>
    </w:p>
    <w:p w:rsidR="00940239" w:rsidRPr="00EB148F" w:rsidRDefault="00940239" w:rsidP="00E3571F">
      <w:pPr>
        <w:spacing w:after="120"/>
        <w:rPr>
          <w:rFonts w:eastAsia="Times New Roman"/>
          <w:i/>
          <w:color w:val="auto"/>
          <w:lang w:eastAsia="en-US"/>
        </w:rPr>
      </w:pPr>
      <w:r w:rsidRPr="00EB148F">
        <w:rPr>
          <w:rFonts w:eastAsia="Times New Roman"/>
          <w:i/>
          <w:color w:val="auto"/>
          <w:lang w:eastAsia="en-US"/>
        </w:rPr>
        <w:t>Referral to the Health Committee</w:t>
      </w:r>
    </w:p>
    <w:p w:rsidR="00940239" w:rsidRPr="00EB148F" w:rsidRDefault="00940239" w:rsidP="00E3571F">
      <w:pPr>
        <w:rPr>
          <w:rFonts w:eastAsia="Times New Roman"/>
          <w:color w:val="auto"/>
          <w:lang w:eastAsia="en-US"/>
        </w:rPr>
      </w:pPr>
      <w:r w:rsidRPr="00EB148F">
        <w:rPr>
          <w:rFonts w:eastAsia="Times New Roman"/>
          <w:color w:val="auto"/>
          <w:lang w:eastAsia="en-US"/>
        </w:rPr>
        <w:t xml:space="preserve">If it appears to the PCC that an osteopath’s ability to practise osteopathy may be seriously impaired by reason of </w:t>
      </w:r>
      <w:r w:rsidR="0075529C">
        <w:rPr>
          <w:rFonts w:eastAsia="Times New Roman"/>
          <w:color w:val="auto"/>
          <w:lang w:eastAsia="en-US"/>
        </w:rPr>
        <w:t>their</w:t>
      </w:r>
      <w:r w:rsidR="0075529C" w:rsidRPr="00EB148F">
        <w:rPr>
          <w:rFonts w:eastAsia="Times New Roman"/>
          <w:color w:val="auto"/>
          <w:lang w:eastAsia="en-US"/>
        </w:rPr>
        <w:t xml:space="preserve"> </w:t>
      </w:r>
      <w:r w:rsidRPr="00EB148F">
        <w:rPr>
          <w:rFonts w:eastAsia="Times New Roman"/>
          <w:color w:val="auto"/>
          <w:lang w:eastAsia="en-US"/>
        </w:rPr>
        <w:t xml:space="preserve">physical or mental condition, </w:t>
      </w:r>
      <w:r w:rsidR="0075529C">
        <w:rPr>
          <w:rFonts w:eastAsia="Times New Roman"/>
          <w:color w:val="auto"/>
          <w:lang w:eastAsia="en-US"/>
        </w:rPr>
        <w:t>the PCC</w:t>
      </w:r>
      <w:r w:rsidRPr="00EB148F">
        <w:rPr>
          <w:rFonts w:eastAsia="Times New Roman"/>
          <w:color w:val="auto"/>
          <w:lang w:eastAsia="en-US"/>
        </w:rPr>
        <w:t xml:space="preserve"> may refer the case to the Health Committee for determination, whether or not the allegation has been proven or sanction applied.</w:t>
      </w:r>
    </w:p>
    <w:p w:rsidR="00940239" w:rsidRPr="00EB148F" w:rsidRDefault="00940239" w:rsidP="00E3571F">
      <w:pPr>
        <w:rPr>
          <w:rFonts w:eastAsia="Times New Roman"/>
          <w:color w:val="auto"/>
          <w:lang w:eastAsia="en-US"/>
        </w:rPr>
      </w:pPr>
      <w:r w:rsidRPr="00EB148F">
        <w:rPr>
          <w:rFonts w:eastAsia="Times New Roman"/>
          <w:color w:val="auto"/>
          <w:lang w:eastAsia="en-US"/>
        </w:rPr>
        <w:t xml:space="preserve">In exercising its discretion, the PCC should take into account all the circumstances of the case, including the scope of powers available to the Health Committee; and whether or not the case may call for a sanction of removal </w:t>
      </w:r>
      <w:r w:rsidR="005D2D57">
        <w:rPr>
          <w:rFonts w:eastAsia="Times New Roman"/>
          <w:color w:val="auto"/>
          <w:lang w:eastAsia="en-US"/>
        </w:rPr>
        <w:t>from the R</w:t>
      </w:r>
      <w:r w:rsidRPr="00EB148F">
        <w:rPr>
          <w:rFonts w:eastAsia="Times New Roman"/>
          <w:color w:val="auto"/>
          <w:lang w:eastAsia="en-US"/>
        </w:rPr>
        <w:t>egister.</w:t>
      </w:r>
    </w:p>
    <w:p w:rsidR="00940239" w:rsidRPr="00EB148F" w:rsidRDefault="00940239" w:rsidP="00E3571F">
      <w:pPr>
        <w:spacing w:after="120"/>
        <w:rPr>
          <w:rFonts w:eastAsia="Times New Roman"/>
          <w:i/>
          <w:color w:val="auto"/>
          <w:lang w:eastAsia="en-US"/>
        </w:rPr>
      </w:pPr>
      <w:r w:rsidRPr="00EB148F">
        <w:rPr>
          <w:rFonts w:eastAsia="Times New Roman"/>
          <w:i/>
          <w:color w:val="auto"/>
          <w:lang w:eastAsia="en-US"/>
        </w:rPr>
        <w:t>Public interest</w:t>
      </w:r>
    </w:p>
    <w:p w:rsidR="00827D29" w:rsidRDefault="00940239" w:rsidP="00827D29">
      <w:pPr>
        <w:spacing w:after="120"/>
        <w:rPr>
          <w:rFonts w:eastAsia="Times New Roman"/>
          <w:color w:val="auto"/>
          <w:lang w:eastAsia="en-US"/>
        </w:rPr>
        <w:sectPr w:rsidR="00827D29" w:rsidSect="00381EA1">
          <w:headerReference w:type="default" r:id="rId23"/>
          <w:pgSz w:w="11906" w:h="16838"/>
          <w:pgMar w:top="1440" w:right="1440" w:bottom="1440" w:left="1440" w:header="708" w:footer="567" w:gutter="0"/>
          <w:cols w:space="708"/>
          <w:docGrid w:linePitch="360"/>
        </w:sectPr>
      </w:pPr>
      <w:r w:rsidRPr="00EB148F">
        <w:rPr>
          <w:rFonts w:eastAsia="Times New Roman"/>
          <w:color w:val="auto"/>
          <w:lang w:eastAsia="en-US"/>
        </w:rPr>
        <w:t>The</w:t>
      </w:r>
      <w:r w:rsidRPr="00EB148F">
        <w:t xml:space="preserve"> </w:t>
      </w:r>
      <w:r w:rsidRPr="00E3571F">
        <w:rPr>
          <w:rFonts w:eastAsia="Times New Roman"/>
          <w:i/>
          <w:color w:val="auto"/>
          <w:lang w:eastAsia="en-US"/>
        </w:rPr>
        <w:t>Health and Social Care (Safety and Quality) Act 2015</w:t>
      </w:r>
      <w:r w:rsidRPr="00EB148F">
        <w:rPr>
          <w:rFonts w:eastAsia="Times New Roman"/>
          <w:color w:val="auto"/>
          <w:lang w:eastAsia="en-US"/>
        </w:rPr>
        <w:t xml:space="preserve"> </w:t>
      </w:r>
      <w:r w:rsidR="00B524B6">
        <w:rPr>
          <w:rFonts w:eastAsia="Times New Roman"/>
          <w:color w:val="auto"/>
          <w:lang w:eastAsia="en-US"/>
        </w:rPr>
        <w:t xml:space="preserve"> </w:t>
      </w:r>
      <w:r w:rsidRPr="00EB148F">
        <w:rPr>
          <w:rFonts w:eastAsia="Times New Roman"/>
          <w:color w:val="auto"/>
          <w:lang w:eastAsia="en-US"/>
        </w:rPr>
        <w:t>has amended the statutory functions of the GOsC to the effect that GOsC has acquired an overarching objective of protection of the public. This involves the pursuit of a number of objectives including</w:t>
      </w:r>
      <w:r w:rsidR="0075529C">
        <w:rPr>
          <w:rFonts w:eastAsia="Times New Roman"/>
          <w:color w:val="auto"/>
          <w:lang w:eastAsia="en-US"/>
        </w:rPr>
        <w:t>:</w:t>
      </w:r>
    </w:p>
    <w:p w:rsidR="00827D29" w:rsidRDefault="00940239" w:rsidP="00381EA1">
      <w:pPr>
        <w:pStyle w:val="ListParagraph"/>
        <w:numPr>
          <w:ilvl w:val="0"/>
          <w:numId w:val="33"/>
        </w:numPr>
        <w:spacing w:after="200"/>
        <w:contextualSpacing w:val="0"/>
        <w:rPr>
          <w:rFonts w:eastAsia="Times New Roman"/>
          <w:color w:val="auto"/>
          <w:lang w:eastAsia="en-US"/>
        </w:rPr>
      </w:pPr>
      <w:r w:rsidRPr="00827D29">
        <w:rPr>
          <w:rFonts w:eastAsia="Times New Roman"/>
          <w:color w:val="auto"/>
          <w:lang w:eastAsia="en-US"/>
        </w:rPr>
        <w:t>maintaining public confidence in the profession of osteopathy</w:t>
      </w:r>
    </w:p>
    <w:p w:rsidR="00940239" w:rsidRPr="00827D29" w:rsidRDefault="00940239" w:rsidP="00381EA1">
      <w:pPr>
        <w:pStyle w:val="ListParagraph"/>
        <w:numPr>
          <w:ilvl w:val="0"/>
          <w:numId w:val="33"/>
        </w:numPr>
        <w:spacing w:after="200"/>
        <w:contextualSpacing w:val="0"/>
        <w:rPr>
          <w:rFonts w:eastAsia="Times New Roman"/>
          <w:color w:val="auto"/>
          <w:lang w:eastAsia="en-US"/>
        </w:rPr>
      </w:pPr>
      <w:r w:rsidRPr="00827D29">
        <w:rPr>
          <w:rFonts w:eastAsia="Times New Roman"/>
          <w:color w:val="auto"/>
          <w:lang w:eastAsia="en-US"/>
        </w:rPr>
        <w:t>promoting and maintaining proper professional standards and conduct for members of the profession.</w:t>
      </w:r>
      <w:r w:rsidR="00827D29">
        <w:rPr>
          <w:rStyle w:val="FootnoteReference"/>
          <w:rFonts w:eastAsia="Times New Roman"/>
          <w:color w:val="auto"/>
          <w:lang w:eastAsia="en-US"/>
        </w:rPr>
        <w:footnoteReference w:id="6"/>
      </w:r>
    </w:p>
    <w:p w:rsidR="00940239" w:rsidRDefault="00940239" w:rsidP="00E3571F">
      <w:pPr>
        <w:spacing w:after="120"/>
        <w:rPr>
          <w:rFonts w:eastAsia="Times New Roman"/>
          <w:color w:val="auto"/>
          <w:lang w:eastAsia="en-US"/>
        </w:rPr>
      </w:pPr>
      <w:r w:rsidRPr="00EB148F">
        <w:rPr>
          <w:rFonts w:eastAsia="Times New Roman"/>
          <w:color w:val="auto"/>
          <w:lang w:eastAsia="en-US"/>
        </w:rPr>
        <w:t>The PCC is required to act in accordance with the public interest, which includes:</w:t>
      </w:r>
    </w:p>
    <w:p w:rsidR="00940239" w:rsidRDefault="00940239" w:rsidP="00E3571F">
      <w:pPr>
        <w:numPr>
          <w:ilvl w:val="0"/>
          <w:numId w:val="20"/>
        </w:numPr>
        <w:tabs>
          <w:tab w:val="clear" w:pos="288"/>
          <w:tab w:val="num" w:pos="426"/>
        </w:tabs>
        <w:spacing w:after="120"/>
        <w:ind w:left="426" w:hanging="426"/>
        <w:rPr>
          <w:rFonts w:eastAsia="Times New Roman"/>
          <w:color w:val="auto"/>
          <w:lang w:eastAsia="en-US"/>
        </w:rPr>
      </w:pPr>
      <w:r w:rsidRPr="00EB148F">
        <w:rPr>
          <w:rFonts w:eastAsia="Times New Roman"/>
          <w:color w:val="auto"/>
          <w:lang w:eastAsia="en-US"/>
        </w:rPr>
        <w:t>the protection of patients, colleagues and the wid</w:t>
      </w:r>
      <w:r>
        <w:rPr>
          <w:rFonts w:eastAsia="Times New Roman"/>
          <w:color w:val="auto"/>
          <w:lang w:eastAsia="en-US"/>
        </w:rPr>
        <w:t>er public from the risk of harm</w:t>
      </w:r>
    </w:p>
    <w:p w:rsidR="00940239" w:rsidRDefault="00940239" w:rsidP="00E3571F">
      <w:pPr>
        <w:numPr>
          <w:ilvl w:val="0"/>
          <w:numId w:val="20"/>
        </w:numPr>
        <w:tabs>
          <w:tab w:val="clear" w:pos="288"/>
          <w:tab w:val="num" w:pos="426"/>
        </w:tabs>
        <w:spacing w:after="120"/>
        <w:ind w:left="426" w:hanging="426"/>
        <w:rPr>
          <w:rFonts w:eastAsia="Times New Roman"/>
          <w:color w:val="auto"/>
          <w:lang w:eastAsia="en-US"/>
        </w:rPr>
      </w:pPr>
      <w:r w:rsidRPr="00EB148F">
        <w:rPr>
          <w:rFonts w:eastAsia="Times New Roman"/>
          <w:color w:val="auto"/>
          <w:lang w:eastAsia="en-US"/>
        </w:rPr>
        <w:t>maintaining public confidence in th</w:t>
      </w:r>
      <w:r>
        <w:rPr>
          <w:rFonts w:eastAsia="Times New Roman"/>
          <w:color w:val="auto"/>
          <w:lang w:eastAsia="en-US"/>
        </w:rPr>
        <w:t>e osteopathic profession</w:t>
      </w:r>
    </w:p>
    <w:p w:rsidR="00940239" w:rsidRPr="00EB148F" w:rsidRDefault="00940239" w:rsidP="00E3571F">
      <w:pPr>
        <w:numPr>
          <w:ilvl w:val="0"/>
          <w:numId w:val="20"/>
        </w:numPr>
        <w:tabs>
          <w:tab w:val="clear" w:pos="288"/>
          <w:tab w:val="num" w:pos="426"/>
        </w:tabs>
        <w:ind w:left="425" w:hanging="425"/>
        <w:rPr>
          <w:rFonts w:eastAsia="Times New Roman"/>
          <w:color w:val="auto"/>
          <w:lang w:eastAsia="en-US"/>
        </w:rPr>
      </w:pPr>
      <w:r w:rsidRPr="00EB148F">
        <w:rPr>
          <w:rFonts w:eastAsia="Times New Roman"/>
          <w:color w:val="auto"/>
          <w:lang w:eastAsia="en-US"/>
        </w:rPr>
        <w:t>declaring and upholding appropriate standards of conduct and competence among osteopathic professionals.</w:t>
      </w:r>
    </w:p>
    <w:p w:rsidR="00940239" w:rsidRPr="00EB148F" w:rsidRDefault="00940239" w:rsidP="00E3571F">
      <w:pPr>
        <w:spacing w:after="120"/>
        <w:rPr>
          <w:rFonts w:eastAsia="Times New Roman"/>
          <w:i/>
          <w:color w:val="auto"/>
          <w:lang w:eastAsia="en-US"/>
        </w:rPr>
      </w:pPr>
      <w:r w:rsidRPr="00EB148F">
        <w:rPr>
          <w:rFonts w:eastAsia="Times New Roman"/>
          <w:i/>
          <w:color w:val="auto"/>
          <w:lang w:eastAsia="en-US"/>
        </w:rPr>
        <w:t>Proportionality</w:t>
      </w:r>
    </w:p>
    <w:p w:rsidR="00940239" w:rsidRPr="00EB148F" w:rsidRDefault="00940239" w:rsidP="00381EA1">
      <w:pPr>
        <w:spacing w:after="200"/>
        <w:rPr>
          <w:rFonts w:eastAsia="Times New Roman"/>
          <w:color w:val="auto"/>
          <w:lang w:eastAsia="en-US"/>
        </w:rPr>
      </w:pPr>
      <w:r w:rsidRPr="00EB148F">
        <w:rPr>
          <w:rFonts w:eastAsia="Times New Roman"/>
          <w:color w:val="auto"/>
          <w:lang w:eastAsia="en-US"/>
        </w:rPr>
        <w:t xml:space="preserve">In deciding what sanction to impose, the PCC must apply the principle of proportionality, weighing the interests of the public with those of the osteopath. The PCC should consider the sanctions available starting with admonishment and choose the least severe sanction that will adequately deal with the issues in the particular case, including the pattern, nature and severity of the facts found proved. </w:t>
      </w:r>
    </w:p>
    <w:p w:rsidR="00940239" w:rsidRDefault="00940239" w:rsidP="00381EA1">
      <w:pPr>
        <w:spacing w:after="80"/>
        <w:rPr>
          <w:rFonts w:eastAsia="Times New Roman"/>
          <w:color w:val="auto"/>
          <w:lang w:eastAsia="en-US"/>
        </w:rPr>
      </w:pPr>
      <w:r w:rsidRPr="00EB148F">
        <w:rPr>
          <w:rFonts w:eastAsia="Times New Roman"/>
          <w:color w:val="auto"/>
          <w:lang w:eastAsia="en-US"/>
        </w:rPr>
        <w:t>The public interest also requires:</w:t>
      </w:r>
    </w:p>
    <w:p w:rsidR="00940239" w:rsidRDefault="00940239" w:rsidP="00381EA1">
      <w:pPr>
        <w:numPr>
          <w:ilvl w:val="0"/>
          <w:numId w:val="21"/>
        </w:numPr>
        <w:tabs>
          <w:tab w:val="clear" w:pos="288"/>
          <w:tab w:val="num" w:pos="426"/>
        </w:tabs>
        <w:spacing w:after="80"/>
        <w:ind w:left="426" w:hanging="426"/>
        <w:rPr>
          <w:rFonts w:eastAsia="Times New Roman"/>
          <w:color w:val="auto"/>
          <w:lang w:eastAsia="en-US"/>
        </w:rPr>
      </w:pPr>
      <w:r w:rsidRPr="00EB148F">
        <w:rPr>
          <w:rFonts w:eastAsia="Times New Roman"/>
          <w:color w:val="auto"/>
          <w:lang w:eastAsia="en-US"/>
        </w:rPr>
        <w:t>the osteopath to receiv</w:t>
      </w:r>
      <w:r>
        <w:rPr>
          <w:rFonts w:eastAsia="Times New Roman"/>
          <w:color w:val="auto"/>
          <w:lang w:eastAsia="en-US"/>
        </w:rPr>
        <w:t xml:space="preserve">e a fair and impartial hearing </w:t>
      </w:r>
    </w:p>
    <w:p w:rsidR="00940239" w:rsidRDefault="00940239" w:rsidP="00381EA1">
      <w:pPr>
        <w:numPr>
          <w:ilvl w:val="0"/>
          <w:numId w:val="21"/>
        </w:numPr>
        <w:tabs>
          <w:tab w:val="clear" w:pos="288"/>
          <w:tab w:val="num" w:pos="426"/>
        </w:tabs>
        <w:spacing w:after="200"/>
        <w:ind w:left="426" w:hanging="426"/>
        <w:rPr>
          <w:rFonts w:eastAsia="Times New Roman"/>
          <w:color w:val="auto"/>
          <w:lang w:eastAsia="en-US"/>
        </w:rPr>
      </w:pPr>
      <w:r w:rsidRPr="00EB148F">
        <w:rPr>
          <w:rFonts w:eastAsia="Times New Roman"/>
          <w:color w:val="auto"/>
          <w:lang w:eastAsia="en-US"/>
        </w:rPr>
        <w:t>in appropriate cases, to be given the opportunity to return to safe and competent practise.</w:t>
      </w:r>
    </w:p>
    <w:p w:rsidR="00D00067" w:rsidRDefault="00552C1A" w:rsidP="001C7E50">
      <w:pPr>
        <w:spacing w:after="120"/>
        <w:rPr>
          <w:i/>
        </w:rPr>
      </w:pPr>
      <w:r w:rsidRPr="00C757A5">
        <w:rPr>
          <w:i/>
        </w:rPr>
        <w:t>Insight and Remediation</w:t>
      </w:r>
    </w:p>
    <w:p w:rsidR="00A651FF" w:rsidRDefault="00BC0C5D" w:rsidP="00381EA1">
      <w:pPr>
        <w:spacing w:after="200"/>
      </w:pPr>
      <w:r>
        <w:t xml:space="preserve">Both insight and remediation should be </w:t>
      </w:r>
      <w:r w:rsidR="00873445">
        <w:t>given their everyday meaning. The PCC</w:t>
      </w:r>
      <w:r w:rsidR="00C757A5">
        <w:t xml:space="preserve"> should focus on whether the</w:t>
      </w:r>
      <w:r w:rsidR="00873445">
        <w:t>re is real evidence that the</w:t>
      </w:r>
      <w:r w:rsidR="00C757A5">
        <w:t xml:space="preserve"> osteopath has been able to look back at his or her conduct with </w:t>
      </w:r>
      <w:r w:rsidR="00F06881">
        <w:t>a self critical eye and</w:t>
      </w:r>
      <w:r w:rsidR="00C757A5">
        <w:t xml:space="preserve"> </w:t>
      </w:r>
      <w:r w:rsidR="00F06881">
        <w:t xml:space="preserve">that </w:t>
      </w:r>
      <w:r w:rsidR="00873445">
        <w:t xml:space="preserve">they have </w:t>
      </w:r>
      <w:r w:rsidR="00C757A5">
        <w:t>acknowledge</w:t>
      </w:r>
      <w:r w:rsidR="00873445">
        <w:t>d</w:t>
      </w:r>
      <w:r w:rsidR="00C757A5">
        <w:t xml:space="preserve"> fault</w:t>
      </w:r>
      <w:r w:rsidR="00F06881">
        <w:t>, expressed contrition and/or</w:t>
      </w:r>
      <w:r w:rsidR="00C757A5">
        <w:t xml:space="preserve"> apologise</w:t>
      </w:r>
      <w:r w:rsidR="00873445">
        <w:t>d</w:t>
      </w:r>
      <w:r w:rsidR="00EF4959">
        <w:t xml:space="preserve">. </w:t>
      </w:r>
      <w:r>
        <w:t>In effect, they</w:t>
      </w:r>
      <w:r w:rsidR="00EF4959">
        <w:t xml:space="preserve"> need to</w:t>
      </w:r>
      <w:r w:rsidR="00C757A5">
        <w:t xml:space="preserve"> demonstrate to the PCC that there is a real</w:t>
      </w:r>
      <w:r w:rsidR="00F06881">
        <w:t xml:space="preserve"> reason to believe they have</w:t>
      </w:r>
      <w:r w:rsidR="00C757A5">
        <w:t xml:space="preserve"> learned a lesson from the experience.</w:t>
      </w:r>
      <w:r w:rsidR="00A651FF">
        <w:t xml:space="preserve"> </w:t>
      </w:r>
    </w:p>
    <w:p w:rsidR="00D00067" w:rsidRPr="003151A0" w:rsidRDefault="00A651FF" w:rsidP="00381EA1">
      <w:pPr>
        <w:spacing w:after="200"/>
      </w:pPr>
      <w:r>
        <w:t>However, the PCC should be mindful of cultural differences as to how an osteopath expresses insight and apology, including non verbal cues such as lack of eye contact and facial expressions.</w:t>
      </w:r>
    </w:p>
    <w:p w:rsidR="00940239" w:rsidRPr="00EB148F" w:rsidRDefault="00873445" w:rsidP="001C7E50">
      <w:pPr>
        <w:spacing w:after="120"/>
        <w:rPr>
          <w:i/>
        </w:rPr>
      </w:pPr>
      <w:r>
        <w:rPr>
          <w:i/>
        </w:rPr>
        <w:t>Mitigating and Aggravating features</w:t>
      </w:r>
    </w:p>
    <w:p w:rsidR="00873445" w:rsidRDefault="00940239" w:rsidP="00381EA1">
      <w:pPr>
        <w:spacing w:after="200"/>
      </w:pPr>
      <w:r w:rsidRPr="00EB148F">
        <w:t>The PCC will need to consider</w:t>
      </w:r>
      <w:r w:rsidR="00873445">
        <w:t xml:space="preserve"> the</w:t>
      </w:r>
      <w:r w:rsidR="001D03ED" w:rsidRPr="001D03ED">
        <w:t xml:space="preserve"> </w:t>
      </w:r>
      <w:r w:rsidR="001D03ED">
        <w:t xml:space="preserve">mitigating and </w:t>
      </w:r>
      <w:r w:rsidR="00873445">
        <w:t>aggravating features in each case, weighing them in the balance.</w:t>
      </w:r>
    </w:p>
    <w:p w:rsidR="00C2261D" w:rsidRDefault="00FE3B14" w:rsidP="00381EA1">
      <w:pPr>
        <w:spacing w:after="200"/>
      </w:pPr>
      <w:r>
        <w:t xml:space="preserve">The </w:t>
      </w:r>
      <w:r w:rsidR="00940239">
        <w:t xml:space="preserve">PCC will be less </w:t>
      </w:r>
      <w:r w:rsidR="00DD2015">
        <w:t>persuaded by</w:t>
      </w:r>
      <w:r w:rsidR="00940239">
        <w:t xml:space="preserve"> mitigating factors when the concern is about patient safety, or is of a more serious nature, than if the concern is about public confidence in the profession. </w:t>
      </w:r>
    </w:p>
    <w:p w:rsidR="001C7E50" w:rsidRDefault="00506060" w:rsidP="00381EA1">
      <w:pPr>
        <w:spacing w:after="0"/>
        <w:sectPr w:rsidR="001C7E50" w:rsidSect="00381EA1">
          <w:pgSz w:w="11906" w:h="16838"/>
          <w:pgMar w:top="1440" w:right="1440" w:bottom="1440" w:left="1440" w:header="708" w:footer="567" w:gutter="0"/>
          <w:cols w:space="708"/>
          <w:docGrid w:linePitch="360"/>
        </w:sectPr>
      </w:pPr>
      <w:r>
        <w:t xml:space="preserve">Aggravating factors </w:t>
      </w:r>
      <w:r w:rsidR="001D03ED">
        <w:t xml:space="preserve">(see list below) </w:t>
      </w:r>
      <w:r>
        <w:t>are</w:t>
      </w:r>
      <w:r w:rsidR="006C0F18">
        <w:t xml:space="preserve"> likely to lead the PCC to consider that more serious action is required</w:t>
      </w:r>
      <w:r w:rsidR="00827D29">
        <w:rPr>
          <w:rStyle w:val="FootnoteReference"/>
        </w:rPr>
        <w:footnoteReference w:id="7"/>
      </w:r>
      <w:r w:rsidR="009D6D17">
        <w:t>.</w:t>
      </w:r>
    </w:p>
    <w:p w:rsidR="00940239" w:rsidRPr="00EB148F" w:rsidRDefault="00C2261D" w:rsidP="001C7E50">
      <w:pPr>
        <w:spacing w:after="120"/>
      </w:pPr>
      <w:r>
        <w:t>Mitigating factors</w:t>
      </w:r>
      <w:r w:rsidR="00940239" w:rsidRPr="00EB148F">
        <w:t xml:space="preserve"> may include:</w:t>
      </w:r>
    </w:p>
    <w:p w:rsidR="00940239" w:rsidRPr="00EB148F" w:rsidRDefault="00940239" w:rsidP="001C7E50">
      <w:pPr>
        <w:numPr>
          <w:ilvl w:val="0"/>
          <w:numId w:val="22"/>
        </w:numPr>
        <w:tabs>
          <w:tab w:val="clear" w:pos="864"/>
          <w:tab w:val="num" w:pos="426"/>
        </w:tabs>
        <w:spacing w:after="120"/>
        <w:ind w:left="426" w:hanging="426"/>
      </w:pPr>
      <w:r w:rsidRPr="00EB148F">
        <w:t xml:space="preserve">evidence of the circumstances leading </w:t>
      </w:r>
      <w:r>
        <w:t>up to the incidents in question</w:t>
      </w:r>
    </w:p>
    <w:p w:rsidR="00940239" w:rsidRPr="00EB148F" w:rsidRDefault="00940239" w:rsidP="001C7E50">
      <w:pPr>
        <w:numPr>
          <w:ilvl w:val="0"/>
          <w:numId w:val="22"/>
        </w:numPr>
        <w:tabs>
          <w:tab w:val="clear" w:pos="864"/>
          <w:tab w:val="num" w:pos="426"/>
        </w:tabs>
        <w:spacing w:after="120"/>
        <w:ind w:left="426" w:hanging="426"/>
      </w:pPr>
      <w:r w:rsidRPr="00EB148F">
        <w:t>evidence of good conduct following the incident in question, p</w:t>
      </w:r>
      <w:r>
        <w:t>articularly any remedial action</w:t>
      </w:r>
      <w:r w:rsidR="00EC5D2E">
        <w:t xml:space="preserve"> which addresses concerns about </w:t>
      </w:r>
      <w:r w:rsidR="001D03ED">
        <w:t xml:space="preserve">the osteopath’s </w:t>
      </w:r>
      <w:r w:rsidR="00EC5D2E">
        <w:t>behaviour or competence</w:t>
      </w:r>
    </w:p>
    <w:p w:rsidR="00940239" w:rsidRPr="00EB148F" w:rsidRDefault="00940239" w:rsidP="001C7E50">
      <w:pPr>
        <w:numPr>
          <w:ilvl w:val="0"/>
          <w:numId w:val="22"/>
        </w:numPr>
        <w:tabs>
          <w:tab w:val="clear" w:pos="864"/>
          <w:tab w:val="num" w:pos="426"/>
        </w:tabs>
        <w:spacing w:after="120"/>
        <w:ind w:left="426" w:hanging="426"/>
      </w:pPr>
      <w:r w:rsidRPr="00EB148F">
        <w:t xml:space="preserve">evidence of the osteopath’s </w:t>
      </w:r>
      <w:r>
        <w:t>previous good character</w:t>
      </w:r>
    </w:p>
    <w:p w:rsidR="00940239" w:rsidRDefault="00940239" w:rsidP="001C7E50">
      <w:pPr>
        <w:numPr>
          <w:ilvl w:val="0"/>
          <w:numId w:val="22"/>
        </w:numPr>
        <w:tabs>
          <w:tab w:val="clear" w:pos="864"/>
          <w:tab w:val="num" w:pos="426"/>
        </w:tabs>
        <w:spacing w:after="120"/>
        <w:ind w:left="426" w:hanging="426"/>
      </w:pPr>
      <w:r w:rsidRPr="00EB148F">
        <w:t>evidence of remor</w:t>
      </w:r>
      <w:r>
        <w:t>se shown/insight/apology given</w:t>
      </w:r>
    </w:p>
    <w:p w:rsidR="00FE3B14" w:rsidRPr="00EB148F" w:rsidRDefault="001C7E50" w:rsidP="001C7E50">
      <w:pPr>
        <w:numPr>
          <w:ilvl w:val="0"/>
          <w:numId w:val="22"/>
        </w:numPr>
        <w:tabs>
          <w:tab w:val="clear" w:pos="864"/>
          <w:tab w:val="num" w:pos="426"/>
        </w:tabs>
        <w:spacing w:after="120"/>
        <w:ind w:left="426" w:hanging="426"/>
      </w:pPr>
      <w:r>
        <w:t>p</w:t>
      </w:r>
      <w:r w:rsidR="00A651FF">
        <w:t>ersonal matters,</w:t>
      </w:r>
      <w:r w:rsidR="00FE3B14">
        <w:t xml:space="preserve"> such as work related stress</w:t>
      </w:r>
      <w:r w:rsidR="00A651FF">
        <w:t xml:space="preserve"> or extreme circumstances which no longer exist</w:t>
      </w:r>
    </w:p>
    <w:p w:rsidR="00940239" w:rsidRPr="00EB148F" w:rsidRDefault="00940239" w:rsidP="001C7E50">
      <w:pPr>
        <w:numPr>
          <w:ilvl w:val="0"/>
          <w:numId w:val="22"/>
        </w:numPr>
        <w:tabs>
          <w:tab w:val="clear" w:pos="864"/>
          <w:tab w:val="num" w:pos="426"/>
        </w:tabs>
        <w:spacing w:after="120"/>
        <w:ind w:left="426" w:hanging="426"/>
      </w:pPr>
      <w:r w:rsidRPr="00EB148F">
        <w:t>time elapsed since the incident and absen</w:t>
      </w:r>
      <w:r>
        <w:t>ce of any subsequent allegation</w:t>
      </w:r>
      <w:r w:rsidRPr="00EB148F">
        <w:t xml:space="preserve"> </w:t>
      </w:r>
    </w:p>
    <w:p w:rsidR="00940239" w:rsidRDefault="00940239" w:rsidP="001C7E50">
      <w:pPr>
        <w:numPr>
          <w:ilvl w:val="0"/>
          <w:numId w:val="22"/>
        </w:numPr>
        <w:tabs>
          <w:tab w:val="clear" w:pos="864"/>
          <w:tab w:val="num" w:pos="426"/>
        </w:tabs>
        <w:spacing w:after="120"/>
        <w:ind w:left="426" w:hanging="426"/>
      </w:pPr>
      <w:r w:rsidRPr="00EB148F">
        <w:t>evidence of steps taken to avoid a repetition</w:t>
      </w:r>
    </w:p>
    <w:p w:rsidR="00DE7B51" w:rsidRDefault="001C7E50" w:rsidP="00940239">
      <w:pPr>
        <w:numPr>
          <w:ilvl w:val="0"/>
          <w:numId w:val="22"/>
        </w:numPr>
        <w:tabs>
          <w:tab w:val="clear" w:pos="864"/>
          <w:tab w:val="num" w:pos="426"/>
        </w:tabs>
        <w:ind w:left="426" w:hanging="426"/>
      </w:pPr>
      <w:r>
        <w:t>r</w:t>
      </w:r>
      <w:r w:rsidR="00DE7B51">
        <w:t xml:space="preserve">elevant </w:t>
      </w:r>
      <w:r>
        <w:t>continuing professional development (</w:t>
      </w:r>
      <w:r w:rsidR="00DE7B51">
        <w:t>CPD</w:t>
      </w:r>
      <w:r>
        <w:t>)</w:t>
      </w:r>
      <w:r w:rsidR="00DE7B51">
        <w:t xml:space="preserve"> and courses completed by the osteopath.</w:t>
      </w:r>
    </w:p>
    <w:p w:rsidR="00FE3B14" w:rsidRDefault="006C0F18" w:rsidP="001C7E50">
      <w:pPr>
        <w:spacing w:after="120"/>
      </w:pPr>
      <w:r>
        <w:t>Aggravating fea</w:t>
      </w:r>
      <w:r w:rsidR="00FE3B14">
        <w:t>tures may include:</w:t>
      </w:r>
    </w:p>
    <w:p w:rsidR="00FE3B14" w:rsidRDefault="00FE3B14" w:rsidP="001C7E50">
      <w:pPr>
        <w:spacing w:after="120"/>
      </w:pPr>
      <w:r>
        <w:t>a.</w:t>
      </w:r>
      <w:r>
        <w:tab/>
      </w:r>
      <w:r w:rsidR="006C0F18">
        <w:t>an abuse of the osteopath’s professional position</w:t>
      </w:r>
    </w:p>
    <w:p w:rsidR="006C0F18" w:rsidRDefault="006C0F18" w:rsidP="001C7E50">
      <w:pPr>
        <w:spacing w:after="120"/>
      </w:pPr>
      <w:r>
        <w:t>b.</w:t>
      </w:r>
      <w:r>
        <w:tab/>
        <w:t>predatory behaviour, especially where this involves vulnerable patients</w:t>
      </w:r>
    </w:p>
    <w:p w:rsidR="006C0F18" w:rsidRDefault="006C0F18" w:rsidP="001C7E50">
      <w:pPr>
        <w:spacing w:after="120"/>
      </w:pPr>
      <w:r>
        <w:t>c.</w:t>
      </w:r>
      <w:r>
        <w:tab/>
        <w:t>discrimination against patients or colleagues</w:t>
      </w:r>
    </w:p>
    <w:p w:rsidR="006C0F18" w:rsidRDefault="006C0F18" w:rsidP="001C7E50">
      <w:pPr>
        <w:spacing w:after="120"/>
      </w:pPr>
      <w:r>
        <w:t>d.</w:t>
      </w:r>
      <w:r>
        <w:tab/>
        <w:t>sexual misconduct</w:t>
      </w:r>
    </w:p>
    <w:p w:rsidR="00D01B0B" w:rsidRDefault="006C0F18" w:rsidP="001C7E50">
      <w:pPr>
        <w:spacing w:after="120"/>
      </w:pPr>
      <w:r>
        <w:t>e.</w:t>
      </w:r>
      <w:r>
        <w:tab/>
        <w:t>failure to raise concerns/lack of candour</w:t>
      </w:r>
    </w:p>
    <w:p w:rsidR="006C0F18" w:rsidRDefault="006C0F18" w:rsidP="001C7E50">
      <w:pPr>
        <w:spacing w:after="120"/>
      </w:pPr>
      <w:r>
        <w:t>f.</w:t>
      </w:r>
      <w:r>
        <w:tab/>
        <w:t>dishonesty</w:t>
      </w:r>
    </w:p>
    <w:p w:rsidR="00D01B0B" w:rsidRDefault="00D01B0B" w:rsidP="001C7E50">
      <w:pPr>
        <w:spacing w:after="120"/>
      </w:pPr>
      <w:r>
        <w:t>g.</w:t>
      </w:r>
      <w:r>
        <w:tab/>
        <w:t>previous fitness to practise findings</w:t>
      </w:r>
    </w:p>
    <w:p w:rsidR="00D01B0B" w:rsidRDefault="00D01B0B" w:rsidP="001C7E50">
      <w:pPr>
        <w:spacing w:after="120"/>
      </w:pPr>
      <w:r>
        <w:t>h.</w:t>
      </w:r>
      <w:r>
        <w:tab/>
        <w:t>refusal to apologise or accept mistakes</w:t>
      </w:r>
    </w:p>
    <w:p w:rsidR="00A651FF" w:rsidRPr="00EB148F" w:rsidRDefault="00A651FF" w:rsidP="00FE3B14">
      <w:r>
        <w:t>i.</w:t>
      </w:r>
      <w:r>
        <w:tab/>
        <w:t>the osteopath’s attitude and behaviour at the hearing</w:t>
      </w:r>
      <w:r w:rsidR="00076DC8">
        <w:t>.</w:t>
      </w:r>
    </w:p>
    <w:p w:rsidR="00940239" w:rsidRPr="00EB148F" w:rsidRDefault="00940239" w:rsidP="001C7E50">
      <w:pPr>
        <w:spacing w:after="120"/>
        <w:rPr>
          <w:i/>
        </w:rPr>
      </w:pPr>
      <w:r w:rsidRPr="00EB148F">
        <w:rPr>
          <w:i/>
        </w:rPr>
        <w:t>References and testimonials</w:t>
      </w:r>
    </w:p>
    <w:p w:rsidR="00940239" w:rsidRPr="00EB148F" w:rsidRDefault="00940239" w:rsidP="00940239">
      <w:r w:rsidRPr="00EB148F">
        <w:t>Often an osteopath will present references and testimonials to support their standing in the community and/or osteopathic profession. The weight to be given to such testimonials is a matter for the PCC. The absence of such references or testimonials should not count against the osteopath. When considering such references, the PCC should consider factors such as how recent they are</w:t>
      </w:r>
      <w:r w:rsidR="00076DC8">
        <w:t>,</w:t>
      </w:r>
      <w:r w:rsidRPr="00EB148F">
        <w:t xml:space="preserve"> and whether the writers were aware of the allegations against the osteopath and that their letters would be put to the PCC in mitigation.</w:t>
      </w:r>
    </w:p>
    <w:p w:rsidR="00940239" w:rsidRPr="00EB148F" w:rsidRDefault="00940239" w:rsidP="001C7E50">
      <w:pPr>
        <w:spacing w:after="120"/>
        <w:rPr>
          <w:i/>
        </w:rPr>
      </w:pPr>
      <w:r w:rsidRPr="00EB148F">
        <w:rPr>
          <w:i/>
        </w:rPr>
        <w:t xml:space="preserve">Time spent under an interim suspension order </w:t>
      </w:r>
    </w:p>
    <w:p w:rsidR="00940239" w:rsidRDefault="00940239" w:rsidP="00A32A5A">
      <w:pPr>
        <w:spacing w:after="200"/>
      </w:pPr>
      <w:r w:rsidRPr="00EB148F">
        <w:rPr>
          <w:iCs/>
        </w:rPr>
        <w:t>The general principle is that time spent by a registrant subject to an interim order is not analogous to time spent remanded in custody.</w:t>
      </w:r>
      <w:r w:rsidRPr="00EB148F">
        <w:rPr>
          <w:iCs/>
          <w:vertAlign w:val="superscript"/>
        </w:rPr>
        <w:footnoteReference w:id="8"/>
      </w:r>
      <w:r w:rsidRPr="00EB148F">
        <w:rPr>
          <w:iCs/>
        </w:rPr>
        <w:t xml:space="preserve"> However, </w:t>
      </w:r>
      <w:r w:rsidRPr="00EB148F">
        <w:t xml:space="preserve">a PCC </w:t>
      </w:r>
      <w:r w:rsidRPr="00EB148F">
        <w:rPr>
          <w:iCs/>
        </w:rPr>
        <w:t xml:space="preserve">may take into account the time spent by a registrant suspended under an </w:t>
      </w:r>
      <w:r w:rsidR="001C7E50">
        <w:rPr>
          <w:iCs/>
        </w:rPr>
        <w:t>interim suspension order (</w:t>
      </w:r>
      <w:r w:rsidRPr="00EB148F">
        <w:rPr>
          <w:iCs/>
        </w:rPr>
        <w:t>ISO</w:t>
      </w:r>
      <w:r w:rsidR="001C7E50">
        <w:rPr>
          <w:iCs/>
        </w:rPr>
        <w:t>)</w:t>
      </w:r>
      <w:r w:rsidRPr="00EB148F">
        <w:rPr>
          <w:iCs/>
        </w:rPr>
        <w:t xml:space="preserve"> as a relevant factor when considering what is the appropriate and </w:t>
      </w:r>
      <w:r w:rsidR="00950D90">
        <w:rPr>
          <w:iCs/>
        </w:rPr>
        <w:t>p</w:t>
      </w:r>
      <w:r w:rsidRPr="00EB148F">
        <w:rPr>
          <w:iCs/>
        </w:rPr>
        <w:t>roportionate sanction</w:t>
      </w:r>
      <w:r w:rsidR="00542093">
        <w:rPr>
          <w:iCs/>
        </w:rPr>
        <w:t>.</w:t>
      </w:r>
      <w:r w:rsidRPr="00EB148F">
        <w:rPr>
          <w:iCs/>
          <w:vertAlign w:val="superscript"/>
        </w:rPr>
        <w:footnoteReference w:id="9"/>
      </w:r>
      <w:r w:rsidRPr="00EB148F">
        <w:rPr>
          <w:iCs/>
        </w:rPr>
        <w:t xml:space="preserve"> For example, if the appropriate sanction is a short period of suspension, the fact there has been an interim period of suspension over the registrant’s registration may be </w:t>
      </w:r>
      <w:r w:rsidR="001D03ED">
        <w:rPr>
          <w:iCs/>
        </w:rPr>
        <w:t xml:space="preserve">a </w:t>
      </w:r>
      <w:r w:rsidRPr="00EB148F">
        <w:rPr>
          <w:iCs/>
        </w:rPr>
        <w:t xml:space="preserve">relevant factor. </w:t>
      </w:r>
      <w:r>
        <w:rPr>
          <w:iCs/>
        </w:rPr>
        <w:t xml:space="preserve">However, the PCC should be mindful that, </w:t>
      </w:r>
      <w:r>
        <w:t>in an interim order hearing, the PCC is primarily concerned with assessment of the risk posed by the osteopath. This differs from the factors the PCC has regard to when deciding on the appropriate sanction to impose following its findings on the allegation.</w:t>
      </w:r>
    </w:p>
    <w:p w:rsidR="00472912" w:rsidRPr="002E3559" w:rsidRDefault="00940239" w:rsidP="00A32A5A">
      <w:pPr>
        <w:spacing w:after="200"/>
        <w:rPr>
          <w:iCs/>
        </w:rPr>
      </w:pPr>
      <w:r>
        <w:rPr>
          <w:iCs/>
        </w:rPr>
        <w:t>In any event, where</w:t>
      </w:r>
      <w:r w:rsidRPr="00EB148F">
        <w:rPr>
          <w:iCs/>
        </w:rPr>
        <w:t xml:space="preserve"> the</w:t>
      </w:r>
      <w:r>
        <w:rPr>
          <w:iCs/>
        </w:rPr>
        <w:t xml:space="preserve"> PCC determines that the</w:t>
      </w:r>
      <w:r w:rsidRPr="00EB148F">
        <w:rPr>
          <w:iCs/>
        </w:rPr>
        <w:t xml:space="preserve"> appropriate sanction is removal</w:t>
      </w:r>
      <w:r w:rsidR="005D2D57">
        <w:rPr>
          <w:iCs/>
        </w:rPr>
        <w:t xml:space="preserve"> from the R</w:t>
      </w:r>
      <w:r w:rsidR="00DE6E07">
        <w:rPr>
          <w:iCs/>
        </w:rPr>
        <w:t>egister</w:t>
      </w:r>
      <w:r w:rsidRPr="00EB148F">
        <w:rPr>
          <w:iCs/>
        </w:rPr>
        <w:t xml:space="preserve">, then the fact that there has been an interim suspension order in place is less relevant.  </w:t>
      </w:r>
    </w:p>
    <w:p w:rsidR="00940239" w:rsidRPr="00EB148F" w:rsidRDefault="00940239" w:rsidP="001C7E50">
      <w:pPr>
        <w:spacing w:after="120"/>
        <w:rPr>
          <w:rFonts w:eastAsia="Times New Roman"/>
          <w:i/>
          <w:color w:val="auto"/>
          <w:lang w:eastAsia="en-US"/>
        </w:rPr>
      </w:pPr>
      <w:r w:rsidRPr="00EB148F">
        <w:rPr>
          <w:rFonts w:eastAsia="Times New Roman"/>
          <w:i/>
          <w:color w:val="auto"/>
          <w:lang w:eastAsia="en-US"/>
        </w:rPr>
        <w:t>Reasons for decisions</w:t>
      </w:r>
    </w:p>
    <w:p w:rsidR="00940239" w:rsidRPr="00EB148F" w:rsidRDefault="00940239" w:rsidP="00A32A5A">
      <w:pPr>
        <w:autoSpaceDE w:val="0"/>
        <w:autoSpaceDN w:val="0"/>
        <w:adjustRightInd w:val="0"/>
        <w:spacing w:after="200"/>
        <w:rPr>
          <w:rFonts w:eastAsia="Times New Roman"/>
          <w:color w:val="auto"/>
        </w:rPr>
      </w:pPr>
      <w:r w:rsidRPr="00EB148F">
        <w:rPr>
          <w:rFonts w:eastAsia="Times New Roman"/>
          <w:color w:val="auto"/>
          <w:lang w:eastAsia="en-US"/>
        </w:rPr>
        <w:t>The PCC is required to give reasons at all the stages in its decision making</w:t>
      </w:r>
      <w:r w:rsidRPr="00EB148F">
        <w:rPr>
          <w:rFonts w:eastAsia="Times New Roman"/>
          <w:color w:val="auto"/>
          <w:lang w:val="en"/>
        </w:rPr>
        <w:t xml:space="preserve"> and should make clear what issues are being determined at each stage. </w:t>
      </w:r>
      <w:r w:rsidRPr="00EB148F">
        <w:rPr>
          <w:rFonts w:eastAsia="Times New Roman"/>
          <w:color w:val="auto"/>
        </w:rPr>
        <w:t>The determination should function as a stand alone document. Good determinations should be accessible as this is central to ensuring that justice is seen to be done, thereby maintaining confidence in the regulation of the profession of osteopathy. To improve both</w:t>
      </w:r>
      <w:r w:rsidRPr="00EB148F">
        <w:rPr>
          <w:rFonts w:eastAsiaTheme="minorHAnsi"/>
          <w:color w:val="auto"/>
          <w:lang w:eastAsia="en-US"/>
        </w:rPr>
        <w:t xml:space="preserve"> the quality and consistency of the Committee</w:t>
      </w:r>
      <w:r>
        <w:rPr>
          <w:rFonts w:eastAsiaTheme="minorHAnsi"/>
          <w:color w:val="auto"/>
          <w:lang w:eastAsia="en-US"/>
        </w:rPr>
        <w:t>’</w:t>
      </w:r>
      <w:r w:rsidRPr="00EB148F">
        <w:rPr>
          <w:rFonts w:eastAsiaTheme="minorHAnsi"/>
          <w:color w:val="auto"/>
          <w:lang w:eastAsia="en-US"/>
        </w:rPr>
        <w:t>s decision-making</w:t>
      </w:r>
      <w:r w:rsidR="00FA0747">
        <w:rPr>
          <w:rFonts w:eastAsiaTheme="minorHAnsi"/>
          <w:color w:val="auto"/>
          <w:lang w:eastAsia="en-US"/>
        </w:rPr>
        <w:t>,</w:t>
      </w:r>
      <w:r w:rsidRPr="00EB148F">
        <w:rPr>
          <w:rFonts w:eastAsia="Times New Roman"/>
          <w:color w:val="auto"/>
        </w:rPr>
        <w:t xml:space="preserve"> the GOsC has produced guidance on drafting determinations which the PCC should have regard to when drafting the written reasons for </w:t>
      </w:r>
      <w:r w:rsidR="00DE6E07">
        <w:rPr>
          <w:rFonts w:eastAsia="Times New Roman"/>
          <w:color w:val="auto"/>
        </w:rPr>
        <w:t>its</w:t>
      </w:r>
      <w:r w:rsidR="00DE6E07" w:rsidRPr="00EB148F">
        <w:rPr>
          <w:rFonts w:eastAsia="Times New Roman"/>
          <w:color w:val="auto"/>
        </w:rPr>
        <w:t xml:space="preserve"> </w:t>
      </w:r>
      <w:r w:rsidRPr="00EB148F">
        <w:rPr>
          <w:rFonts w:eastAsia="Times New Roman"/>
          <w:color w:val="auto"/>
        </w:rPr>
        <w:t>decision</w:t>
      </w:r>
      <w:r w:rsidR="00DE6E07">
        <w:rPr>
          <w:rFonts w:eastAsia="Times New Roman"/>
          <w:color w:val="auto"/>
        </w:rPr>
        <w:t>s</w:t>
      </w:r>
      <w:r w:rsidR="00542093">
        <w:rPr>
          <w:rFonts w:eastAsia="Times New Roman"/>
          <w:color w:val="auto"/>
        </w:rPr>
        <w:t>.</w:t>
      </w:r>
      <w:r w:rsidRPr="00EB148F">
        <w:rPr>
          <w:rFonts w:eastAsia="Times New Roman"/>
          <w:color w:val="auto"/>
          <w:vertAlign w:val="superscript"/>
        </w:rPr>
        <w:footnoteReference w:id="10"/>
      </w:r>
    </w:p>
    <w:p w:rsidR="00940239" w:rsidRPr="00EB148F" w:rsidRDefault="00940239" w:rsidP="00FE5D77">
      <w:pPr>
        <w:spacing w:before="120" w:after="200"/>
        <w:rPr>
          <w:rFonts w:eastAsia="Times New Roman"/>
          <w:color w:val="auto"/>
        </w:rPr>
      </w:pPr>
      <w:r w:rsidRPr="00EB148F">
        <w:rPr>
          <w:rFonts w:eastAsia="Times New Roman"/>
          <w:b/>
          <w:color w:val="auto"/>
          <w:lang w:eastAsia="en-US"/>
        </w:rPr>
        <w:t>Circumstances where more serious action is indicated</w:t>
      </w:r>
    </w:p>
    <w:p w:rsidR="00940239" w:rsidRPr="00EB148F" w:rsidRDefault="00940239" w:rsidP="001C7E50">
      <w:pPr>
        <w:spacing w:after="120"/>
        <w:rPr>
          <w:rFonts w:eastAsiaTheme="minorHAnsi"/>
          <w:i/>
          <w:color w:val="auto"/>
          <w:lang w:eastAsia="en-US"/>
        </w:rPr>
      </w:pPr>
      <w:r w:rsidRPr="00EB148F">
        <w:rPr>
          <w:rFonts w:eastAsiaTheme="minorHAnsi"/>
          <w:i/>
          <w:color w:val="auto"/>
          <w:lang w:eastAsia="en-US"/>
        </w:rPr>
        <w:t>Duty of candour</w:t>
      </w:r>
    </w:p>
    <w:p w:rsidR="00940239" w:rsidRPr="00EB148F" w:rsidRDefault="00940239" w:rsidP="00A32A5A">
      <w:pPr>
        <w:spacing w:after="200"/>
        <w:rPr>
          <w:rFonts w:eastAsiaTheme="minorHAnsi"/>
          <w:color w:val="auto"/>
          <w:lang w:eastAsia="en-US"/>
        </w:rPr>
      </w:pPr>
      <w:r w:rsidRPr="00EB148F">
        <w:rPr>
          <w:rFonts w:eastAsiaTheme="minorHAnsi"/>
          <w:color w:val="auto"/>
          <w:lang w:eastAsia="en-US"/>
        </w:rPr>
        <w:t>Acting with openness and honesty when things go wrong sits at the heart of osteopathic practice and health care. The joint statement on candour issued by the statutory regulators of healthcare professionals clearly sets out the importance of this issue.</w:t>
      </w:r>
    </w:p>
    <w:p w:rsidR="00DE6E07" w:rsidRDefault="00DE7B51" w:rsidP="00A32A5A">
      <w:pPr>
        <w:spacing w:after="200"/>
        <w:rPr>
          <w:rFonts w:eastAsiaTheme="minorHAnsi"/>
          <w:color w:val="auto"/>
          <w:lang w:eastAsia="en-US"/>
        </w:rPr>
      </w:pPr>
      <w:r>
        <w:rPr>
          <w:rFonts w:eastAsiaTheme="minorHAnsi"/>
          <w:color w:val="auto"/>
          <w:lang w:eastAsia="en-US"/>
        </w:rPr>
        <w:t>W</w:t>
      </w:r>
      <w:r w:rsidR="00940239" w:rsidRPr="00EB148F">
        <w:rPr>
          <w:rFonts w:eastAsiaTheme="minorHAnsi"/>
          <w:color w:val="auto"/>
          <w:lang w:eastAsia="en-US"/>
        </w:rPr>
        <w:t>here something goes wrong with a patient’s care which causes, or has the potential to cause</w:t>
      </w:r>
      <w:r w:rsidR="00DE6E07">
        <w:rPr>
          <w:rFonts w:eastAsiaTheme="minorHAnsi"/>
          <w:color w:val="auto"/>
          <w:lang w:eastAsia="en-US"/>
        </w:rPr>
        <w:t>,</w:t>
      </w:r>
      <w:r w:rsidR="00940239" w:rsidRPr="00EB148F">
        <w:rPr>
          <w:rFonts w:eastAsiaTheme="minorHAnsi"/>
          <w:color w:val="auto"/>
          <w:lang w:eastAsia="en-US"/>
        </w:rPr>
        <w:t xml:space="preserve"> harm or distress, then an osteopath must</w:t>
      </w:r>
      <w:r w:rsidR="00DE6E07">
        <w:rPr>
          <w:rFonts w:eastAsiaTheme="minorHAnsi"/>
          <w:color w:val="auto"/>
          <w:lang w:eastAsia="en-US"/>
        </w:rPr>
        <w:t>:</w:t>
      </w:r>
    </w:p>
    <w:p w:rsidR="00DE6E07" w:rsidRDefault="00940239" w:rsidP="00827D29">
      <w:pPr>
        <w:pStyle w:val="ListParagraph"/>
        <w:numPr>
          <w:ilvl w:val="0"/>
          <w:numId w:val="34"/>
        </w:numPr>
        <w:spacing w:after="120"/>
        <w:ind w:left="426" w:hanging="426"/>
        <w:contextualSpacing w:val="0"/>
        <w:rPr>
          <w:rFonts w:eastAsiaTheme="minorHAnsi"/>
          <w:color w:val="auto"/>
          <w:lang w:eastAsia="en-US"/>
        </w:rPr>
      </w:pPr>
      <w:r w:rsidRPr="00B524B6">
        <w:rPr>
          <w:rFonts w:eastAsiaTheme="minorHAnsi"/>
          <w:color w:val="auto"/>
          <w:lang w:eastAsia="en-US"/>
        </w:rPr>
        <w:t>tell the patient</w:t>
      </w:r>
    </w:p>
    <w:p w:rsidR="00DE6E07" w:rsidRDefault="00940239" w:rsidP="00827D29">
      <w:pPr>
        <w:pStyle w:val="ListParagraph"/>
        <w:numPr>
          <w:ilvl w:val="0"/>
          <w:numId w:val="34"/>
        </w:numPr>
        <w:spacing w:after="120"/>
        <w:ind w:left="426" w:hanging="426"/>
        <w:contextualSpacing w:val="0"/>
        <w:rPr>
          <w:rFonts w:eastAsiaTheme="minorHAnsi"/>
          <w:color w:val="auto"/>
          <w:lang w:eastAsia="en-US"/>
        </w:rPr>
      </w:pPr>
      <w:r w:rsidRPr="00B524B6">
        <w:rPr>
          <w:rFonts w:eastAsiaTheme="minorHAnsi"/>
          <w:color w:val="auto"/>
          <w:lang w:eastAsia="en-US"/>
        </w:rPr>
        <w:t xml:space="preserve">offer an explanation as to what </w:t>
      </w:r>
      <w:r w:rsidR="00DE6E07" w:rsidRPr="00B524B6">
        <w:rPr>
          <w:rFonts w:eastAsiaTheme="minorHAnsi"/>
          <w:color w:val="auto"/>
          <w:lang w:eastAsia="en-US"/>
        </w:rPr>
        <w:t xml:space="preserve">has </w:t>
      </w:r>
      <w:r w:rsidRPr="00B524B6">
        <w:rPr>
          <w:rFonts w:eastAsiaTheme="minorHAnsi"/>
          <w:color w:val="auto"/>
          <w:lang w:eastAsia="en-US"/>
        </w:rPr>
        <w:t>happened and the effects of this</w:t>
      </w:r>
    </w:p>
    <w:p w:rsidR="00940239" w:rsidRPr="00B524B6" w:rsidRDefault="00DE6E07" w:rsidP="00827D29">
      <w:pPr>
        <w:pStyle w:val="ListParagraph"/>
        <w:numPr>
          <w:ilvl w:val="0"/>
          <w:numId w:val="34"/>
        </w:numPr>
        <w:ind w:left="426" w:hanging="426"/>
        <w:contextualSpacing w:val="0"/>
        <w:rPr>
          <w:rFonts w:eastAsiaTheme="minorHAnsi"/>
          <w:color w:val="auto"/>
          <w:lang w:eastAsia="en-US"/>
        </w:rPr>
      </w:pPr>
      <w:r>
        <w:rPr>
          <w:rFonts w:eastAsiaTheme="minorHAnsi"/>
          <w:color w:val="auto"/>
          <w:lang w:eastAsia="en-US"/>
        </w:rPr>
        <w:t>make</w:t>
      </w:r>
      <w:r w:rsidR="00940239" w:rsidRPr="00B524B6">
        <w:rPr>
          <w:rFonts w:eastAsiaTheme="minorHAnsi"/>
          <w:color w:val="auto"/>
          <w:lang w:eastAsia="en-US"/>
        </w:rPr>
        <w:t xml:space="preserve"> an </w:t>
      </w:r>
      <w:r w:rsidRPr="00B524B6">
        <w:rPr>
          <w:rFonts w:eastAsiaTheme="minorHAnsi"/>
          <w:color w:val="auto"/>
          <w:lang w:eastAsia="en-US"/>
        </w:rPr>
        <w:t xml:space="preserve">appropriate </w:t>
      </w:r>
      <w:r w:rsidR="00940239" w:rsidRPr="00B524B6">
        <w:rPr>
          <w:rFonts w:eastAsiaTheme="minorHAnsi"/>
          <w:color w:val="auto"/>
          <w:lang w:eastAsia="en-US"/>
        </w:rPr>
        <w:t>apology.</w:t>
      </w:r>
    </w:p>
    <w:p w:rsidR="00940239" w:rsidRDefault="00940239" w:rsidP="00A32A5A">
      <w:pPr>
        <w:spacing w:after="200"/>
        <w:rPr>
          <w:rFonts w:eastAsiaTheme="minorHAnsi"/>
          <w:color w:val="auto"/>
          <w:lang w:eastAsia="en-US"/>
        </w:rPr>
      </w:pPr>
      <w:r w:rsidRPr="00EB148F">
        <w:rPr>
          <w:rFonts w:eastAsiaTheme="minorHAnsi"/>
          <w:color w:val="auto"/>
          <w:lang w:eastAsia="en-US"/>
        </w:rPr>
        <w:t>The PCC should therefore regard a registrant’s sincere explanations and apology as positive steps before, and during</w:t>
      </w:r>
      <w:r w:rsidR="00DE6E07">
        <w:rPr>
          <w:rFonts w:eastAsiaTheme="minorHAnsi"/>
          <w:color w:val="auto"/>
          <w:lang w:eastAsia="en-US"/>
        </w:rPr>
        <w:t>,</w:t>
      </w:r>
      <w:r w:rsidR="001C7E50">
        <w:rPr>
          <w:rFonts w:eastAsiaTheme="minorHAnsi"/>
          <w:color w:val="auto"/>
          <w:lang w:eastAsia="en-US"/>
        </w:rPr>
        <w:t xml:space="preserve"> </w:t>
      </w:r>
      <w:r w:rsidRPr="00EB148F">
        <w:rPr>
          <w:rFonts w:eastAsiaTheme="minorHAnsi"/>
          <w:color w:val="auto"/>
          <w:lang w:eastAsia="en-US"/>
        </w:rPr>
        <w:t>a hearing as a mitigating factor. This is because it can demonstrate evidence of insight into what has gone wrong, what can be done to deal with any harm caused to the patient and what will be done to prevent matters going wrong for someone else in the future</w:t>
      </w:r>
      <w:r w:rsidR="00287327">
        <w:rPr>
          <w:rFonts w:eastAsiaTheme="minorHAnsi"/>
          <w:color w:val="auto"/>
          <w:lang w:eastAsia="en-US"/>
        </w:rPr>
        <w:t>,</w:t>
      </w:r>
      <w:r w:rsidRPr="00EB148F">
        <w:rPr>
          <w:rFonts w:eastAsiaTheme="minorHAnsi"/>
          <w:color w:val="auto"/>
          <w:lang w:eastAsia="en-US"/>
        </w:rPr>
        <w:t xml:space="preserve"> therefore contributing to safer patient care in the future.</w:t>
      </w:r>
      <w:r>
        <w:rPr>
          <w:rFonts w:eastAsiaTheme="minorHAnsi"/>
          <w:color w:val="auto"/>
          <w:lang w:eastAsia="en-US"/>
        </w:rPr>
        <w:t xml:space="preserve"> </w:t>
      </w:r>
    </w:p>
    <w:p w:rsidR="00940239" w:rsidRPr="00EB148F" w:rsidRDefault="00940239" w:rsidP="00A32A5A">
      <w:pPr>
        <w:spacing w:after="200"/>
        <w:rPr>
          <w:rFonts w:eastAsiaTheme="minorHAnsi"/>
          <w:color w:val="auto"/>
          <w:lang w:eastAsia="en-US"/>
        </w:rPr>
      </w:pPr>
      <w:r>
        <w:t>The PCC should note, for the purposes of the hearing, an apology</w:t>
      </w:r>
      <w:r w:rsidR="00287327">
        <w:t xml:space="preserve"> in itself</w:t>
      </w:r>
      <w:r>
        <w:t xml:space="preserve"> made by </w:t>
      </w:r>
      <w:r w:rsidR="00DE6E07">
        <w:t xml:space="preserve">a </w:t>
      </w:r>
      <w:r>
        <w:t>registrant will not be treated as an admission of guilt.</w:t>
      </w:r>
    </w:p>
    <w:p w:rsidR="00827D29" w:rsidRDefault="00940239" w:rsidP="00827D29">
      <w:pPr>
        <w:rPr>
          <w:rFonts w:eastAsiaTheme="minorHAnsi"/>
          <w:color w:val="auto"/>
          <w:lang w:eastAsia="en-US"/>
        </w:rPr>
      </w:pPr>
      <w:r w:rsidRPr="00EB148F">
        <w:rPr>
          <w:rFonts w:eastAsiaTheme="minorHAnsi"/>
          <w:color w:val="auto"/>
          <w:lang w:eastAsia="en-US"/>
        </w:rPr>
        <w:t>However, where it has been determined that a registrant has taken deliberate steps to avoid being candid with a patient, with anyone involved in a patient’s care, or to prevent someone else from being candid</w:t>
      </w:r>
      <w:r w:rsidR="00DE6E07">
        <w:rPr>
          <w:rFonts w:eastAsiaTheme="minorHAnsi"/>
          <w:color w:val="auto"/>
          <w:lang w:eastAsia="en-US"/>
        </w:rPr>
        <w:t>, then t</w:t>
      </w:r>
      <w:r w:rsidRPr="00EB148F">
        <w:rPr>
          <w:rFonts w:eastAsiaTheme="minorHAnsi"/>
          <w:color w:val="auto"/>
          <w:lang w:eastAsia="en-US"/>
        </w:rPr>
        <w:t>his should be considered as an aggravating feature by the PCC because the patient</w:t>
      </w:r>
      <w:r w:rsidR="00D05D09">
        <w:rPr>
          <w:rFonts w:eastAsiaTheme="minorHAnsi"/>
          <w:color w:val="auto"/>
          <w:lang w:eastAsia="en-US"/>
        </w:rPr>
        <w:t>’s</w:t>
      </w:r>
      <w:r w:rsidRPr="00EB148F">
        <w:rPr>
          <w:rFonts w:eastAsiaTheme="minorHAnsi"/>
          <w:color w:val="auto"/>
          <w:lang w:eastAsia="en-US"/>
        </w:rPr>
        <w:t xml:space="preserve"> interests are not being put first</w:t>
      </w:r>
      <w:r w:rsidR="00542093">
        <w:rPr>
          <w:rFonts w:eastAsiaTheme="minorHAnsi"/>
          <w:color w:val="auto"/>
          <w:lang w:eastAsia="en-US"/>
        </w:rPr>
        <w:t>.</w:t>
      </w:r>
      <w:r w:rsidR="00827D29">
        <w:rPr>
          <w:rFonts w:eastAsiaTheme="minorHAnsi"/>
          <w:color w:val="auto"/>
          <w:lang w:eastAsia="en-US"/>
        </w:rPr>
        <w:t xml:space="preserve"> </w:t>
      </w:r>
    </w:p>
    <w:p w:rsidR="00940239" w:rsidRPr="00827D29" w:rsidRDefault="00940239" w:rsidP="00827D29">
      <w:pPr>
        <w:spacing w:after="120"/>
        <w:rPr>
          <w:rFonts w:eastAsia="Times New Roman"/>
          <w:i/>
          <w:color w:val="auto"/>
          <w:lang w:eastAsia="en-US"/>
        </w:rPr>
      </w:pPr>
      <w:r w:rsidRPr="00827D29">
        <w:rPr>
          <w:rFonts w:eastAsia="Times New Roman"/>
          <w:i/>
          <w:color w:val="auto"/>
          <w:lang w:eastAsia="en-US"/>
        </w:rPr>
        <w:t xml:space="preserve">Raising concerns </w:t>
      </w:r>
    </w:p>
    <w:p w:rsidR="00940239" w:rsidRPr="00EB148F" w:rsidRDefault="00940239" w:rsidP="00A32A5A">
      <w:pPr>
        <w:rPr>
          <w:rFonts w:eastAsiaTheme="minorHAnsi"/>
          <w:color w:val="auto"/>
          <w:lang w:eastAsia="en-US"/>
        </w:rPr>
      </w:pPr>
      <w:r w:rsidRPr="00EB148F">
        <w:rPr>
          <w:rFonts w:eastAsiaTheme="minorHAnsi"/>
          <w:color w:val="auto"/>
          <w:lang w:eastAsia="en-US"/>
        </w:rPr>
        <w:t>It is vital that there is an environment and culture within osteopathy where individuals are supported in raising concerns and</w:t>
      </w:r>
      <w:r w:rsidR="00287327">
        <w:rPr>
          <w:rFonts w:eastAsiaTheme="minorHAnsi"/>
          <w:color w:val="auto"/>
          <w:lang w:eastAsia="en-US"/>
        </w:rPr>
        <w:t xml:space="preserve"> to</w:t>
      </w:r>
      <w:r w:rsidRPr="00EB148F">
        <w:rPr>
          <w:rFonts w:eastAsiaTheme="minorHAnsi"/>
          <w:color w:val="auto"/>
          <w:lang w:eastAsia="en-US"/>
        </w:rPr>
        <w:t xml:space="preserve"> take appropriate action where there are concerns about standards of care and risks to patient safety. An osteopath’s duty to raise concerns are set out in Standard C4 of the revised </w:t>
      </w:r>
      <w:r w:rsidRPr="00E15976">
        <w:rPr>
          <w:rFonts w:eastAsiaTheme="minorHAnsi"/>
          <w:i/>
          <w:color w:val="auto"/>
          <w:lang w:eastAsia="en-US"/>
        </w:rPr>
        <w:t>Osteopathic Practice Standards</w:t>
      </w:r>
      <w:r w:rsidRPr="00EB148F">
        <w:rPr>
          <w:rFonts w:eastAsiaTheme="minorHAnsi"/>
          <w:color w:val="auto"/>
          <w:lang w:eastAsia="en-US"/>
        </w:rPr>
        <w:t xml:space="preserve"> which states ‘You must take action to keep patients from harm’</w:t>
      </w:r>
      <w:r w:rsidR="00542093">
        <w:rPr>
          <w:rFonts w:eastAsiaTheme="minorHAnsi"/>
          <w:color w:val="auto"/>
          <w:lang w:eastAsia="en-US"/>
        </w:rPr>
        <w:t>.</w:t>
      </w:r>
      <w:r w:rsidRPr="00EB148F">
        <w:rPr>
          <w:rFonts w:eastAsiaTheme="minorHAnsi"/>
          <w:color w:val="auto"/>
          <w:lang w:eastAsia="en-US"/>
        </w:rPr>
        <w:t xml:space="preserve"> All osteopaths have a responsibility to ensure that they and individuals in their practice are enabled to raise concerns openly and safely.</w:t>
      </w:r>
      <w:r w:rsidR="00A32A5A">
        <w:rPr>
          <w:rFonts w:eastAsiaTheme="minorHAnsi"/>
          <w:color w:val="auto"/>
          <w:lang w:eastAsia="en-US"/>
        </w:rPr>
        <w:t xml:space="preserve"> </w:t>
      </w:r>
      <w:r w:rsidRPr="00EB148F">
        <w:rPr>
          <w:rFonts w:eastAsiaTheme="minorHAnsi"/>
          <w:color w:val="auto"/>
          <w:lang w:eastAsia="en-US"/>
        </w:rPr>
        <w:t xml:space="preserve">A failure to raise concerns can cause or present a significant risk to patients. </w:t>
      </w:r>
    </w:p>
    <w:p w:rsidR="00940239" w:rsidRPr="00EB148F" w:rsidRDefault="00940239" w:rsidP="00A32A5A">
      <w:pPr>
        <w:rPr>
          <w:rFonts w:eastAsiaTheme="minorHAnsi"/>
          <w:color w:val="auto"/>
          <w:lang w:eastAsia="en-US"/>
        </w:rPr>
      </w:pPr>
      <w:r w:rsidRPr="00EB148F">
        <w:rPr>
          <w:rFonts w:eastAsiaTheme="minorHAnsi"/>
          <w:color w:val="auto"/>
          <w:lang w:eastAsia="en-US"/>
        </w:rPr>
        <w:t xml:space="preserve">A breach of this standard should be taken very seriously by the PCC and should be considered as an aggravating factor by the PCC. </w:t>
      </w:r>
    </w:p>
    <w:p w:rsidR="00940239" w:rsidRDefault="00940239" w:rsidP="00A32A5A">
      <w:pPr>
        <w:spacing w:after="120"/>
        <w:rPr>
          <w:rFonts w:eastAsia="Times New Roman"/>
          <w:i/>
          <w:color w:val="auto"/>
          <w:lang w:eastAsia="en-US"/>
        </w:rPr>
      </w:pPr>
      <w:r w:rsidRPr="00EB148F">
        <w:rPr>
          <w:rFonts w:eastAsia="Times New Roman"/>
          <w:i/>
          <w:color w:val="auto"/>
          <w:lang w:eastAsia="en-US"/>
        </w:rPr>
        <w:t>Dishonesty</w:t>
      </w:r>
    </w:p>
    <w:p w:rsidR="00940239" w:rsidRDefault="00940239" w:rsidP="00A32A5A">
      <w:r>
        <w:t xml:space="preserve">D15 of the </w:t>
      </w:r>
      <w:r w:rsidRPr="00E15976">
        <w:rPr>
          <w:i/>
        </w:rPr>
        <w:t>Osteopathic Practice Standards</w:t>
      </w:r>
      <w:r>
        <w:t xml:space="preserve"> requires osteopaths to be honest and trustworthy. A lack of honesty in a registrant’s practice can adversely affect patient care.</w:t>
      </w:r>
    </w:p>
    <w:p w:rsidR="00940239" w:rsidRDefault="00940239" w:rsidP="00A32A5A">
      <w:pPr>
        <w:spacing w:after="120"/>
      </w:pPr>
      <w:r>
        <w:t>Examples of dishonesty may include:</w:t>
      </w:r>
    </w:p>
    <w:p w:rsidR="00940239" w:rsidRDefault="00A32A5A" w:rsidP="00A32A5A">
      <w:pPr>
        <w:pStyle w:val="ListParagraph"/>
        <w:numPr>
          <w:ilvl w:val="0"/>
          <w:numId w:val="19"/>
        </w:numPr>
        <w:spacing w:after="120"/>
        <w:ind w:left="426" w:hanging="426"/>
        <w:contextualSpacing w:val="0"/>
      </w:pPr>
      <w:r>
        <w:t>d</w:t>
      </w:r>
      <w:r w:rsidR="00940239">
        <w:t xml:space="preserve">eliberately withholding a necessary investigation, treatment or referral </w:t>
      </w:r>
    </w:p>
    <w:p w:rsidR="00940239" w:rsidRDefault="00A32A5A" w:rsidP="00A32A5A">
      <w:pPr>
        <w:pStyle w:val="ListParagraph"/>
        <w:numPr>
          <w:ilvl w:val="0"/>
          <w:numId w:val="19"/>
        </w:numPr>
        <w:spacing w:after="120"/>
        <w:ind w:left="426" w:hanging="426"/>
        <w:contextualSpacing w:val="0"/>
      </w:pPr>
      <w:r>
        <w:t>p</w:t>
      </w:r>
      <w:r w:rsidR="00940239">
        <w:t>rolonging treatment unnecessarily for financial gain</w:t>
      </w:r>
    </w:p>
    <w:p w:rsidR="00940239" w:rsidRDefault="00A32A5A" w:rsidP="00A32A5A">
      <w:pPr>
        <w:pStyle w:val="ListParagraph"/>
        <w:numPr>
          <w:ilvl w:val="0"/>
          <w:numId w:val="19"/>
        </w:numPr>
        <w:spacing w:after="120"/>
        <w:ind w:left="426" w:hanging="426"/>
        <w:contextualSpacing w:val="0"/>
      </w:pPr>
      <w:r>
        <w:t>k</w:t>
      </w:r>
      <w:r w:rsidR="00472912">
        <w:t>nowingly p</w:t>
      </w:r>
      <w:r w:rsidR="00940239">
        <w:t>ractising as an osteopath without appropriate professional indemnity insurance</w:t>
      </w:r>
    </w:p>
    <w:p w:rsidR="00940239" w:rsidRDefault="00A32A5A" w:rsidP="00A32A5A">
      <w:pPr>
        <w:pStyle w:val="ListParagraph"/>
        <w:numPr>
          <w:ilvl w:val="0"/>
          <w:numId w:val="19"/>
        </w:numPr>
        <w:spacing w:after="120"/>
        <w:ind w:left="426" w:hanging="426"/>
        <w:contextualSpacing w:val="0"/>
      </w:pPr>
      <w:r>
        <w:t>a</w:t>
      </w:r>
      <w:r w:rsidR="00940239">
        <w:t>ccepting referral fees</w:t>
      </w:r>
    </w:p>
    <w:p w:rsidR="00940239" w:rsidRDefault="00A32A5A" w:rsidP="00A32A5A">
      <w:pPr>
        <w:pStyle w:val="ListParagraph"/>
        <w:numPr>
          <w:ilvl w:val="0"/>
          <w:numId w:val="19"/>
        </w:numPr>
        <w:spacing w:after="120"/>
        <w:ind w:left="426" w:hanging="426"/>
        <w:contextualSpacing w:val="0"/>
      </w:pPr>
      <w:r>
        <w:t>p</w:t>
      </w:r>
      <w:r w:rsidR="00940239">
        <w:t>utting pressure on a patient to obtain other professional advice or to purchase a product</w:t>
      </w:r>
    </w:p>
    <w:p w:rsidR="00940239" w:rsidRDefault="00A32A5A" w:rsidP="00A32A5A">
      <w:pPr>
        <w:pStyle w:val="ListParagraph"/>
        <w:numPr>
          <w:ilvl w:val="0"/>
          <w:numId w:val="19"/>
        </w:numPr>
        <w:spacing w:after="120"/>
        <w:ind w:left="426" w:hanging="426"/>
        <w:contextualSpacing w:val="0"/>
      </w:pPr>
      <w:r>
        <w:t>r</w:t>
      </w:r>
      <w:r w:rsidR="00940239">
        <w:t>ecommending a professional service or product solely for financial gain</w:t>
      </w:r>
    </w:p>
    <w:p w:rsidR="00472912" w:rsidRDefault="00A32A5A" w:rsidP="00A32A5A">
      <w:pPr>
        <w:pStyle w:val="ListParagraph"/>
        <w:numPr>
          <w:ilvl w:val="0"/>
          <w:numId w:val="19"/>
        </w:numPr>
        <w:spacing w:after="120"/>
        <w:ind w:left="426" w:hanging="426"/>
        <w:contextualSpacing w:val="0"/>
      </w:pPr>
      <w:r>
        <w:t>i</w:t>
      </w:r>
      <w:r w:rsidR="00472912">
        <w:t>mproperly amending or changing detail</w:t>
      </w:r>
      <w:r w:rsidR="00B57CE7">
        <w:t>s</w:t>
      </w:r>
      <w:r w:rsidR="00472912">
        <w:t xml:space="preserve"> on patient records</w:t>
      </w:r>
    </w:p>
    <w:p w:rsidR="00EB50F9" w:rsidRDefault="00A32A5A" w:rsidP="00EB50F9">
      <w:pPr>
        <w:pStyle w:val="ListParagraph"/>
        <w:numPr>
          <w:ilvl w:val="0"/>
          <w:numId w:val="19"/>
        </w:numPr>
        <w:ind w:left="426" w:hanging="426"/>
      </w:pPr>
      <w:r>
        <w:t>b</w:t>
      </w:r>
      <w:r w:rsidR="00940239">
        <w:t>orrowing money from patients, or accepting any other benefit that brings financial gain in financial dealings, whether personal or professional.</w:t>
      </w:r>
    </w:p>
    <w:p w:rsidR="00EB50F9" w:rsidRDefault="00EB50F9" w:rsidP="00EB50F9">
      <w:r>
        <w:t>Although it may not result in direct harm to patients, dishonesty related to matters outside the registrant’s clinical practice can be particularly serious because this can undermine the trust that the public place in the osteopathic profession.</w:t>
      </w:r>
      <w:r w:rsidRPr="00AD26C3">
        <w:t xml:space="preserve"> </w:t>
      </w:r>
    </w:p>
    <w:p w:rsidR="00940239" w:rsidRDefault="00940239" w:rsidP="00A32A5A">
      <w:pPr>
        <w:rPr>
          <w:rFonts w:eastAsia="Times New Roman"/>
          <w:color w:val="auto"/>
        </w:rPr>
      </w:pPr>
      <w:r w:rsidRPr="00EB148F">
        <w:rPr>
          <w:rFonts w:eastAsia="Times New Roman"/>
          <w:color w:val="auto"/>
        </w:rPr>
        <w:t>The PCC should take all evidence into consideration in individual cases when</w:t>
      </w:r>
      <w:r>
        <w:rPr>
          <w:rFonts w:eastAsia="Times New Roman"/>
          <w:color w:val="auto"/>
        </w:rPr>
        <w:t xml:space="preserve"> </w:t>
      </w:r>
      <w:r w:rsidRPr="00EB148F">
        <w:rPr>
          <w:rFonts w:eastAsia="Times New Roman"/>
          <w:color w:val="auto"/>
        </w:rPr>
        <w:t>exercising its judgement and</w:t>
      </w:r>
      <w:r w:rsidRPr="002F5EFC">
        <w:rPr>
          <w:rFonts w:eastAsia="Times New Roman"/>
          <w:color w:val="auto"/>
        </w:rPr>
        <w:t xml:space="preserve"> </w:t>
      </w:r>
      <w:r w:rsidRPr="00EB148F">
        <w:rPr>
          <w:rFonts w:eastAsia="Times New Roman"/>
          <w:color w:val="auto"/>
        </w:rPr>
        <w:t>making a decision that is appropriate and sufficient</w:t>
      </w:r>
      <w:r>
        <w:rPr>
          <w:rFonts w:eastAsia="Times New Roman"/>
          <w:color w:val="auto"/>
        </w:rPr>
        <w:t>.</w:t>
      </w:r>
      <w:r w:rsidRPr="00EB148F">
        <w:rPr>
          <w:rFonts w:eastAsia="Times New Roman"/>
          <w:color w:val="auto"/>
        </w:rPr>
        <w:t xml:space="preserve"> </w:t>
      </w:r>
    </w:p>
    <w:p w:rsidR="00827D29" w:rsidRDefault="00940239" w:rsidP="00A32A5A">
      <w:pPr>
        <w:spacing w:after="120"/>
      </w:pPr>
      <w:r>
        <w:t>However, where dishonesty is persistent and/or covered up, this will bring the profession into disrepute and the appropriate sanction in this situation is</w:t>
      </w:r>
      <w:r w:rsidR="005D2D57">
        <w:t xml:space="preserve"> likely to be removal from the R</w:t>
      </w:r>
      <w:r>
        <w:t>egister.</w:t>
      </w:r>
    </w:p>
    <w:p w:rsidR="00940239" w:rsidRPr="00EB148F" w:rsidRDefault="00940239" w:rsidP="00A32A5A">
      <w:pPr>
        <w:spacing w:after="120"/>
        <w:rPr>
          <w:rFonts w:eastAsia="Times New Roman"/>
          <w:i/>
          <w:color w:val="auto"/>
          <w:lang w:eastAsia="en-US"/>
        </w:rPr>
      </w:pPr>
      <w:r w:rsidRPr="00EB148F">
        <w:rPr>
          <w:rFonts w:eastAsia="Times New Roman"/>
          <w:i/>
          <w:color w:val="auto"/>
          <w:lang w:eastAsia="en-US"/>
        </w:rPr>
        <w:t>Sexual Misconduct</w:t>
      </w:r>
    </w:p>
    <w:p w:rsidR="00940239" w:rsidRDefault="00940239" w:rsidP="00A32A5A">
      <w:pPr>
        <w:rPr>
          <w:rFonts w:eastAsia="Times New Roman"/>
          <w:color w:val="auto"/>
        </w:rPr>
      </w:pPr>
      <w:r w:rsidRPr="00EB148F">
        <w:rPr>
          <w:rFonts w:eastAsia="Times New Roman"/>
          <w:color w:val="auto"/>
        </w:rPr>
        <w:t>Sexual misconduct covers a wide range of conduct spanning criminal convictions, sexual misconduct with patients, colleagues and others to breaching profes</w:t>
      </w:r>
      <w:r>
        <w:rPr>
          <w:rFonts w:eastAsia="Times New Roman"/>
          <w:color w:val="auto"/>
        </w:rPr>
        <w:t>sional boundaries through non-</w:t>
      </w:r>
      <w:r w:rsidRPr="00EB148F">
        <w:rPr>
          <w:rFonts w:eastAsia="Times New Roman"/>
          <w:color w:val="auto"/>
        </w:rPr>
        <w:t xml:space="preserve">consensual physical examination of patients. It is an abuse of the special position of trust that a healthcare professional occupies. It seriously undermines public trust in the profession of osteopathy and can present a risk to patient safety. </w:t>
      </w:r>
    </w:p>
    <w:p w:rsidR="006A640B" w:rsidRDefault="006A640B" w:rsidP="00A32A5A">
      <w:r>
        <w:t xml:space="preserve">In reaching a decision, the PCC should take account of the guidance issued by the PSA (formerly the </w:t>
      </w:r>
      <w:r w:rsidR="00A73064" w:rsidRPr="00A73064">
        <w:t>Council for Healthcare Regulatory Excellence</w:t>
      </w:r>
      <w:r>
        <w:t xml:space="preserve">) entitled: </w:t>
      </w:r>
      <w:r w:rsidRPr="006A640B">
        <w:rPr>
          <w:i/>
        </w:rPr>
        <w:t>Clear sexual boundaries between healthcare professionals and patients: guidance for fitness to practise panels</w:t>
      </w:r>
      <w:r>
        <w:rPr>
          <w:i/>
        </w:rPr>
        <w:t xml:space="preserve"> </w:t>
      </w:r>
      <w:r>
        <w:t>(2008), in particular, the aggravating and mitigating factors relevant to sanction.</w:t>
      </w:r>
    </w:p>
    <w:p w:rsidR="00CC7506" w:rsidRDefault="00940239" w:rsidP="00A32A5A">
      <w:pPr>
        <w:rPr>
          <w:rFonts w:eastAsia="Times New Roman"/>
          <w:color w:val="auto"/>
        </w:rPr>
      </w:pPr>
      <w:r>
        <w:rPr>
          <w:rFonts w:eastAsia="Times New Roman"/>
          <w:color w:val="auto"/>
        </w:rPr>
        <w:t xml:space="preserve">D16 of the </w:t>
      </w:r>
      <w:r w:rsidRPr="00E15976">
        <w:rPr>
          <w:rFonts w:eastAsia="Times New Roman"/>
          <w:i/>
          <w:color w:val="auto"/>
        </w:rPr>
        <w:t>Osteopathic Practice Standards</w:t>
      </w:r>
      <w:r>
        <w:rPr>
          <w:rFonts w:eastAsia="Times New Roman"/>
          <w:color w:val="auto"/>
        </w:rPr>
        <w:t xml:space="preserve"> provides that </w:t>
      </w:r>
      <w:r>
        <w:t>the failure to establish and maintain sexual boundaries may, in particular, have a profoundly damaging effect on patients.</w:t>
      </w:r>
      <w:r w:rsidRPr="00AD26C3">
        <w:rPr>
          <w:rFonts w:eastAsia="Times New Roman"/>
          <w:color w:val="auto"/>
        </w:rPr>
        <w:t xml:space="preserve"> </w:t>
      </w:r>
    </w:p>
    <w:p w:rsidR="00DE06FE" w:rsidRDefault="00940239" w:rsidP="00DE06FE">
      <w:pPr>
        <w:spacing w:before="240"/>
        <w:rPr>
          <w:rFonts w:eastAsia="Times New Roman"/>
          <w:color w:val="auto"/>
        </w:rPr>
      </w:pPr>
      <w:r>
        <w:rPr>
          <w:rFonts w:eastAsia="Times New Roman"/>
          <w:color w:val="auto"/>
        </w:rPr>
        <w:t>W</w:t>
      </w:r>
      <w:r w:rsidRPr="00EB148F">
        <w:rPr>
          <w:rFonts w:eastAsia="Times New Roman"/>
          <w:color w:val="auto"/>
        </w:rPr>
        <w:t>here sexual misconduct is proven</w:t>
      </w:r>
      <w:r w:rsidR="00B57CE7">
        <w:rPr>
          <w:rFonts w:eastAsia="Times New Roman"/>
          <w:color w:val="auto"/>
        </w:rPr>
        <w:t xml:space="preserve"> –</w:t>
      </w:r>
      <w:r w:rsidRPr="00EB148F">
        <w:rPr>
          <w:rFonts w:eastAsia="Times New Roman"/>
          <w:color w:val="auto"/>
        </w:rPr>
        <w:t xml:space="preserve"> especially in circumstances where there has been a breach of pro</w:t>
      </w:r>
      <w:r w:rsidR="00CC7506">
        <w:rPr>
          <w:rFonts w:eastAsia="Times New Roman"/>
          <w:color w:val="auto"/>
        </w:rPr>
        <w:t>fessional boundaries involving</w:t>
      </w:r>
      <w:r w:rsidRPr="00EB148F">
        <w:rPr>
          <w:rFonts w:eastAsia="Times New Roman"/>
          <w:color w:val="auto"/>
        </w:rPr>
        <w:t xml:space="preserve"> particularly vulnerable patient</w:t>
      </w:r>
      <w:r w:rsidR="00CC7506">
        <w:t>s, including</w:t>
      </w:r>
      <w:r w:rsidR="005968D0">
        <w:t xml:space="preserve"> those with emotional problems, physically disabled young people and people with learning disabilities</w:t>
      </w:r>
      <w:r w:rsidR="00B57CE7">
        <w:t xml:space="preserve"> –</w:t>
      </w:r>
      <w:r w:rsidR="005968D0">
        <w:rPr>
          <w:rFonts w:eastAsia="Times New Roman"/>
          <w:color w:val="auto"/>
        </w:rPr>
        <w:t xml:space="preserve"> </w:t>
      </w:r>
      <w:r w:rsidRPr="00EB148F">
        <w:rPr>
          <w:rFonts w:eastAsia="Times New Roman"/>
          <w:color w:val="auto"/>
        </w:rPr>
        <w:t xml:space="preserve">this </w:t>
      </w:r>
      <w:r w:rsidR="00B57CE7">
        <w:rPr>
          <w:rFonts w:eastAsia="Times New Roman"/>
          <w:color w:val="auto"/>
        </w:rPr>
        <w:t>will</w:t>
      </w:r>
      <w:r w:rsidRPr="00EB148F">
        <w:rPr>
          <w:rFonts w:eastAsia="Times New Roman"/>
          <w:color w:val="auto"/>
        </w:rPr>
        <w:t xml:space="preserve"> be regarded </w:t>
      </w:r>
      <w:r w:rsidR="00CC7506">
        <w:rPr>
          <w:rFonts w:eastAsia="Times New Roman"/>
          <w:color w:val="auto"/>
        </w:rPr>
        <w:t xml:space="preserve">as very serious by the PCC </w:t>
      </w:r>
      <w:r w:rsidR="00B57CE7">
        <w:rPr>
          <w:rFonts w:eastAsia="Times New Roman"/>
          <w:color w:val="auto"/>
        </w:rPr>
        <w:t xml:space="preserve">and </w:t>
      </w:r>
      <w:r w:rsidR="005D2D57">
        <w:rPr>
          <w:rFonts w:eastAsia="Times New Roman"/>
          <w:color w:val="auto"/>
        </w:rPr>
        <w:t>removal from the R</w:t>
      </w:r>
      <w:r w:rsidR="00CC7506">
        <w:rPr>
          <w:rFonts w:eastAsia="Times New Roman"/>
          <w:color w:val="auto"/>
        </w:rPr>
        <w:t>egister should</w:t>
      </w:r>
      <w:r>
        <w:rPr>
          <w:rFonts w:eastAsia="Times New Roman"/>
          <w:color w:val="auto"/>
        </w:rPr>
        <w:t xml:space="preserve"> be</w:t>
      </w:r>
      <w:r w:rsidR="00CC7506">
        <w:rPr>
          <w:rFonts w:eastAsia="Times New Roman"/>
          <w:color w:val="auto"/>
        </w:rPr>
        <w:t xml:space="preserve"> considered as</w:t>
      </w:r>
      <w:r>
        <w:rPr>
          <w:rFonts w:eastAsia="Times New Roman"/>
          <w:color w:val="auto"/>
        </w:rPr>
        <w:t xml:space="preserve"> the</w:t>
      </w:r>
      <w:r w:rsidRPr="00EB148F">
        <w:rPr>
          <w:rFonts w:eastAsia="Times New Roman"/>
          <w:color w:val="auto"/>
        </w:rPr>
        <w:t xml:space="preserve"> appropriate sanction.</w:t>
      </w:r>
      <w:r w:rsidR="00DE06FE">
        <w:rPr>
          <w:rFonts w:eastAsia="Times New Roman"/>
          <w:color w:val="auto"/>
        </w:rPr>
        <w:t xml:space="preserve"> </w:t>
      </w:r>
    </w:p>
    <w:p w:rsidR="00940239" w:rsidRPr="00950D90" w:rsidRDefault="00940239" w:rsidP="00DE06FE">
      <w:pPr>
        <w:spacing w:before="240"/>
        <w:rPr>
          <w:rFonts w:eastAsia="Times New Roman"/>
          <w:b/>
          <w:color w:val="1F497D" w:themeColor="text2"/>
          <w:lang w:eastAsia="en-US"/>
        </w:rPr>
      </w:pPr>
      <w:r w:rsidRPr="00950D90">
        <w:rPr>
          <w:rFonts w:eastAsia="Times New Roman"/>
          <w:b/>
          <w:lang w:eastAsia="en-US"/>
        </w:rPr>
        <w:t>Sanctions</w:t>
      </w:r>
    </w:p>
    <w:p w:rsidR="00940239" w:rsidRDefault="00940239" w:rsidP="00A32A5A">
      <w:pPr>
        <w:rPr>
          <w:rFonts w:eastAsia="Times New Roman"/>
          <w:color w:val="auto"/>
          <w:lang w:eastAsia="en-US"/>
        </w:rPr>
      </w:pPr>
      <w:r w:rsidRPr="00EB148F">
        <w:rPr>
          <w:rFonts w:eastAsia="Times New Roman"/>
          <w:color w:val="auto"/>
          <w:lang w:eastAsia="en-US"/>
        </w:rPr>
        <w:t>The purpose of sanctions is not to be punitive, although they may have that effect. Rather, their purpose is to protect patients and the wider public interest, which includes the protecting of members of the public, maintaining public confidence in the profession and declaring and upholding proper standards of conduct and competence.</w:t>
      </w:r>
    </w:p>
    <w:p w:rsidR="00940239" w:rsidRPr="00EB148F" w:rsidRDefault="00940239" w:rsidP="00A32A5A">
      <w:pPr>
        <w:rPr>
          <w:rFonts w:eastAsia="Times New Roman"/>
          <w:color w:val="auto"/>
          <w:lang w:eastAsia="en-US"/>
        </w:rPr>
      </w:pPr>
      <w:r w:rsidRPr="00EB148F">
        <w:rPr>
          <w:rFonts w:eastAsia="Times New Roman"/>
          <w:color w:val="auto"/>
          <w:lang w:eastAsia="en-US"/>
        </w:rPr>
        <w:t>The PCC must impose a sanction when it finds unacceptable professional conduct, professional incompetence or that a criminal conviction is material to the registrant’s practice of osteopathy.</w:t>
      </w:r>
    </w:p>
    <w:p w:rsidR="00940239" w:rsidRPr="00EB148F" w:rsidRDefault="00940239" w:rsidP="00A32A5A">
      <w:pPr>
        <w:rPr>
          <w:rFonts w:eastAsia="Times New Roman"/>
          <w:color w:val="auto"/>
          <w:lang w:eastAsia="en-US"/>
        </w:rPr>
      </w:pPr>
      <w:r w:rsidRPr="00EB148F">
        <w:rPr>
          <w:rFonts w:eastAsia="Times New Roman"/>
          <w:color w:val="auto"/>
          <w:lang w:eastAsia="en-US"/>
        </w:rPr>
        <w:t>The sanction must be proportionate and address the particular deficiencies highlighted by the case. For example, whil</w:t>
      </w:r>
      <w:r>
        <w:rPr>
          <w:rFonts w:eastAsia="Times New Roman"/>
          <w:color w:val="auto"/>
          <w:lang w:eastAsia="en-US"/>
        </w:rPr>
        <w:t>e</w:t>
      </w:r>
      <w:r w:rsidRPr="00EB148F">
        <w:rPr>
          <w:rFonts w:eastAsia="Times New Roman"/>
          <w:color w:val="auto"/>
          <w:lang w:eastAsia="en-US"/>
        </w:rPr>
        <w:t xml:space="preserve"> an admonishment might address certain un</w:t>
      </w:r>
      <w:r>
        <w:rPr>
          <w:rFonts w:eastAsia="Times New Roman"/>
          <w:color w:val="auto"/>
          <w:lang w:eastAsia="en-US"/>
        </w:rPr>
        <w:t>acceptable professional conduct,</w:t>
      </w:r>
      <w:r w:rsidRPr="00EB148F">
        <w:rPr>
          <w:rFonts w:eastAsia="Times New Roman"/>
          <w:color w:val="auto"/>
          <w:lang w:eastAsia="en-US"/>
        </w:rPr>
        <w:t xml:space="preserve"> where the osteopath has shown insight and is unlikely to repeat it, it is unlikely to address a finding of professional incompetence. </w:t>
      </w:r>
    </w:p>
    <w:p w:rsidR="00940239" w:rsidRPr="00EB148F" w:rsidRDefault="00940239" w:rsidP="00A32A5A">
      <w:pPr>
        <w:rPr>
          <w:rFonts w:eastAsia="Times New Roman"/>
          <w:color w:val="auto"/>
          <w:lang w:eastAsia="en-US"/>
        </w:rPr>
      </w:pPr>
      <w:r w:rsidRPr="00EB148F">
        <w:rPr>
          <w:rFonts w:eastAsia="Times New Roman"/>
          <w:color w:val="auto"/>
          <w:lang w:eastAsia="en-US"/>
        </w:rPr>
        <w:t xml:space="preserve">When determining an appropriate sanction, the PCC should consider each sanction in turn, in ascending order of seriousness, namely, admonishment, conditions of practice order, suspension, and removal from the </w:t>
      </w:r>
      <w:r>
        <w:rPr>
          <w:rFonts w:eastAsia="Times New Roman"/>
          <w:color w:val="auto"/>
          <w:lang w:eastAsia="en-US"/>
        </w:rPr>
        <w:t>R</w:t>
      </w:r>
      <w:r w:rsidRPr="00EB148F">
        <w:rPr>
          <w:rFonts w:eastAsia="Times New Roman"/>
          <w:color w:val="auto"/>
          <w:lang w:eastAsia="en-US"/>
        </w:rPr>
        <w:t xml:space="preserve">egister. </w:t>
      </w:r>
    </w:p>
    <w:p w:rsidR="00A73064" w:rsidRDefault="00940239" w:rsidP="00542093">
      <w:pPr>
        <w:rPr>
          <w:rFonts w:eastAsia="Times New Roman"/>
          <w:color w:val="auto"/>
          <w:lang w:eastAsia="en-US"/>
        </w:rPr>
      </w:pPr>
      <w:r w:rsidRPr="00EB148F">
        <w:rPr>
          <w:rFonts w:eastAsia="Times New Roman"/>
          <w:color w:val="auto"/>
          <w:lang w:eastAsia="en-US"/>
        </w:rPr>
        <w:t>The least severe sanction that deals adequately with the identified issues and concerns should be chosen.</w:t>
      </w:r>
    </w:p>
    <w:p w:rsidR="00940239" w:rsidRPr="00EB148F" w:rsidRDefault="00940239" w:rsidP="00A32A5A">
      <w:pPr>
        <w:spacing w:after="120"/>
        <w:rPr>
          <w:rFonts w:eastAsia="Times New Roman"/>
          <w:color w:val="auto"/>
          <w:lang w:eastAsia="en-US"/>
        </w:rPr>
      </w:pPr>
      <w:r w:rsidRPr="00EB148F">
        <w:rPr>
          <w:rFonts w:eastAsia="Times New Roman"/>
          <w:b/>
          <w:color w:val="auto"/>
          <w:lang w:eastAsia="en-US"/>
        </w:rPr>
        <w:t xml:space="preserve">Issuing </w:t>
      </w:r>
      <w:r w:rsidR="00B57CE7">
        <w:rPr>
          <w:rFonts w:eastAsia="Times New Roman"/>
          <w:b/>
          <w:color w:val="auto"/>
          <w:lang w:eastAsia="en-US"/>
        </w:rPr>
        <w:t>a</w:t>
      </w:r>
      <w:r w:rsidRPr="00EB148F">
        <w:rPr>
          <w:rFonts w:eastAsia="Times New Roman"/>
          <w:b/>
          <w:color w:val="auto"/>
          <w:lang w:eastAsia="en-US"/>
        </w:rPr>
        <w:t>dvice where a finding of Unacceptable Professional Conduct is not found</w:t>
      </w:r>
    </w:p>
    <w:p w:rsidR="00542093" w:rsidRDefault="00940239" w:rsidP="00A73064">
      <w:pPr>
        <w:rPr>
          <w:rFonts w:eastAsia="Times New Roman"/>
          <w:color w:val="auto"/>
          <w:lang w:eastAsia="en-US"/>
        </w:rPr>
      </w:pPr>
      <w:r w:rsidRPr="00EB148F">
        <w:rPr>
          <w:rFonts w:eastAsia="Times New Roman"/>
          <w:color w:val="auto"/>
          <w:lang w:eastAsia="en-US"/>
        </w:rPr>
        <w:t>In Spencer v Ge</w:t>
      </w:r>
      <w:r>
        <w:rPr>
          <w:rFonts w:eastAsia="Times New Roman"/>
          <w:color w:val="auto"/>
          <w:lang w:eastAsia="en-US"/>
        </w:rPr>
        <w:t>neral Osteopathic Council</w:t>
      </w:r>
      <w:r w:rsidR="00B57CE7">
        <w:rPr>
          <w:rFonts w:eastAsia="Times New Roman"/>
          <w:color w:val="auto"/>
          <w:lang w:eastAsia="en-US"/>
        </w:rPr>
        <w:t>,</w:t>
      </w:r>
      <w:r w:rsidRPr="00EB148F">
        <w:rPr>
          <w:rFonts w:eastAsia="Times New Roman"/>
          <w:color w:val="auto"/>
          <w:lang w:eastAsia="en-US"/>
        </w:rPr>
        <w:t xml:space="preserve"> Mr Justice Irwin </w:t>
      </w:r>
      <w:r>
        <w:rPr>
          <w:rFonts w:eastAsia="Times New Roman"/>
          <w:color w:val="auto"/>
          <w:lang w:eastAsia="en-US"/>
        </w:rPr>
        <w:t>considered there was ‘</w:t>
      </w:r>
      <w:r w:rsidRPr="00EB148F">
        <w:rPr>
          <w:rFonts w:eastAsia="Times New Roman"/>
          <w:color w:val="auto"/>
          <w:lang w:eastAsia="en-US"/>
        </w:rPr>
        <w:t>nothing to prevent the PCC from giving advice</w:t>
      </w:r>
      <w:r>
        <w:rPr>
          <w:rFonts w:eastAsia="Times New Roman"/>
          <w:color w:val="auto"/>
          <w:lang w:eastAsia="en-US"/>
        </w:rPr>
        <w:t>’</w:t>
      </w:r>
      <w:r w:rsidRPr="00EB148F">
        <w:rPr>
          <w:rFonts w:eastAsia="Times New Roman"/>
          <w:color w:val="auto"/>
          <w:lang w:eastAsia="en-US"/>
        </w:rPr>
        <w:t xml:space="preserve"> to a registrant where allegations have been made which constitute a breach of the </w:t>
      </w:r>
      <w:r w:rsidRPr="00780A25">
        <w:rPr>
          <w:rFonts w:eastAsia="Times New Roman"/>
          <w:i/>
          <w:color w:val="auto"/>
          <w:lang w:eastAsia="en-US"/>
        </w:rPr>
        <w:t>Osteopathic Practice Standards</w:t>
      </w:r>
      <w:r w:rsidR="00EB50F9">
        <w:rPr>
          <w:rFonts w:eastAsia="Times New Roman"/>
          <w:i/>
          <w:color w:val="auto"/>
          <w:lang w:eastAsia="en-US"/>
        </w:rPr>
        <w:t xml:space="preserve">, </w:t>
      </w:r>
      <w:r w:rsidRPr="00EB148F">
        <w:rPr>
          <w:rFonts w:eastAsia="Times New Roman"/>
          <w:color w:val="auto"/>
          <w:lang w:eastAsia="en-US"/>
        </w:rPr>
        <w:t xml:space="preserve"> </w:t>
      </w:r>
      <w:r w:rsidR="00EB50F9">
        <w:rPr>
          <w:rFonts w:eastAsia="Times New Roman"/>
          <w:color w:val="auto"/>
          <w:lang w:eastAsia="en-US"/>
        </w:rPr>
        <w:t>but w</w:t>
      </w:r>
      <w:r w:rsidRPr="00EB148F">
        <w:rPr>
          <w:rFonts w:eastAsia="Times New Roman"/>
          <w:color w:val="auto"/>
          <w:lang w:eastAsia="en-US"/>
        </w:rPr>
        <w:t xml:space="preserve">here neither professional incompetence </w:t>
      </w:r>
      <w:r w:rsidR="00542093">
        <w:rPr>
          <w:rFonts w:eastAsia="Times New Roman"/>
          <w:color w:val="auto"/>
          <w:lang w:eastAsia="en-US"/>
        </w:rPr>
        <w:t>n</w:t>
      </w:r>
      <w:r w:rsidRPr="00EB148F">
        <w:rPr>
          <w:rFonts w:eastAsia="Times New Roman"/>
          <w:color w:val="auto"/>
          <w:lang w:eastAsia="en-US"/>
        </w:rPr>
        <w:t xml:space="preserve">or </w:t>
      </w:r>
      <w:r>
        <w:rPr>
          <w:rFonts w:eastAsia="Times New Roman"/>
          <w:color w:val="auto"/>
          <w:lang w:eastAsia="en-US"/>
        </w:rPr>
        <w:t>unacceptable professional conduct</w:t>
      </w:r>
      <w:r w:rsidRPr="00EB148F">
        <w:rPr>
          <w:rFonts w:eastAsia="Times New Roman"/>
          <w:color w:val="auto"/>
          <w:lang w:eastAsia="en-US"/>
        </w:rPr>
        <w:t xml:space="preserve"> is </w:t>
      </w:r>
      <w:r w:rsidR="00EB50F9">
        <w:rPr>
          <w:rFonts w:eastAsia="Times New Roman"/>
          <w:color w:val="auto"/>
          <w:lang w:eastAsia="en-US"/>
        </w:rPr>
        <w:t>found</w:t>
      </w:r>
      <w:r w:rsidRPr="00EB148F">
        <w:rPr>
          <w:rFonts w:eastAsia="Times New Roman"/>
          <w:color w:val="auto"/>
          <w:lang w:eastAsia="en-US"/>
        </w:rPr>
        <w:t xml:space="preserve">. Justice Irwin also observed that, had Parliament intended to give formal powers of warning or admonition to the GOsC in circumstances where a registrant had breached the Standards but had not been guilty of </w:t>
      </w:r>
      <w:r w:rsidR="00542093">
        <w:rPr>
          <w:rFonts w:eastAsia="Times New Roman"/>
          <w:color w:val="auto"/>
          <w:lang w:eastAsia="en-US"/>
        </w:rPr>
        <w:t>unacceptable professional conduct</w:t>
      </w:r>
      <w:r w:rsidRPr="00EB148F">
        <w:rPr>
          <w:rFonts w:eastAsia="Times New Roman"/>
          <w:color w:val="auto"/>
          <w:lang w:eastAsia="en-US"/>
        </w:rPr>
        <w:t xml:space="preserve">, it </w:t>
      </w:r>
      <w:r>
        <w:rPr>
          <w:rFonts w:eastAsia="Times New Roman"/>
          <w:color w:val="auto"/>
          <w:lang w:eastAsia="en-US"/>
        </w:rPr>
        <w:t>‘</w:t>
      </w:r>
      <w:r w:rsidRPr="00EB148F">
        <w:rPr>
          <w:rFonts w:eastAsia="Times New Roman"/>
          <w:color w:val="auto"/>
          <w:lang w:eastAsia="en-US"/>
        </w:rPr>
        <w:t>would have been very simple to do so</w:t>
      </w:r>
      <w:r>
        <w:rPr>
          <w:rFonts w:eastAsia="Times New Roman"/>
          <w:color w:val="auto"/>
          <w:lang w:eastAsia="en-US"/>
        </w:rPr>
        <w:t>’</w:t>
      </w:r>
      <w:r w:rsidRPr="00EB148F">
        <w:rPr>
          <w:rFonts w:eastAsia="Times New Roman"/>
          <w:color w:val="auto"/>
          <w:lang w:eastAsia="en-US"/>
        </w:rPr>
        <w:t>.</w:t>
      </w:r>
      <w:r w:rsidR="00EB50F9">
        <w:rPr>
          <w:rFonts w:eastAsia="Times New Roman"/>
          <w:color w:val="auto"/>
          <w:lang w:eastAsia="en-US"/>
        </w:rPr>
        <w:t xml:space="preserve"> </w:t>
      </w:r>
    </w:p>
    <w:p w:rsidR="00940239" w:rsidRPr="00EB148F" w:rsidRDefault="00940239" w:rsidP="00A73064">
      <w:pPr>
        <w:rPr>
          <w:rFonts w:eastAsia="Times New Roman"/>
          <w:color w:val="auto"/>
          <w:lang w:eastAsia="en-US"/>
        </w:rPr>
      </w:pPr>
      <w:r w:rsidRPr="00EB148F">
        <w:rPr>
          <w:rFonts w:eastAsia="Times New Roman"/>
          <w:color w:val="auto"/>
          <w:lang w:eastAsia="en-US"/>
        </w:rPr>
        <w:t xml:space="preserve">Although a failure to comply with a provision of the </w:t>
      </w:r>
      <w:r w:rsidRPr="00780A25">
        <w:rPr>
          <w:rFonts w:eastAsia="Times New Roman"/>
          <w:i/>
          <w:color w:val="auto"/>
          <w:lang w:eastAsia="en-US"/>
        </w:rPr>
        <w:t>Osteopathic Practice Standards</w:t>
      </w:r>
      <w:r w:rsidRPr="00EB148F">
        <w:rPr>
          <w:rFonts w:eastAsia="Times New Roman"/>
          <w:color w:val="auto"/>
          <w:lang w:eastAsia="en-US"/>
        </w:rPr>
        <w:t xml:space="preserve"> does not in itself constitute </w:t>
      </w:r>
      <w:r>
        <w:rPr>
          <w:rFonts w:eastAsia="Times New Roman"/>
          <w:color w:val="auto"/>
          <w:lang w:eastAsia="en-US"/>
        </w:rPr>
        <w:t>unacceptable professional conduct</w:t>
      </w:r>
      <w:r w:rsidRPr="00EB148F">
        <w:rPr>
          <w:rFonts w:eastAsia="Times New Roman"/>
          <w:color w:val="auto"/>
          <w:lang w:eastAsia="en-US"/>
        </w:rPr>
        <w:t xml:space="preserve">, it might be proportionate for </w:t>
      </w:r>
      <w:r w:rsidR="004F7DE0">
        <w:rPr>
          <w:rFonts w:eastAsia="Times New Roman"/>
          <w:color w:val="auto"/>
          <w:lang w:eastAsia="en-US"/>
        </w:rPr>
        <w:t>the</w:t>
      </w:r>
      <w:r w:rsidRPr="00EB148F">
        <w:rPr>
          <w:rFonts w:eastAsia="Times New Roman"/>
          <w:color w:val="auto"/>
          <w:lang w:eastAsia="en-US"/>
        </w:rPr>
        <w:t xml:space="preserve"> PCC to issue advice to the registrant where it has concluded that the threshold of</w:t>
      </w:r>
      <w:r w:rsidRPr="00780A25">
        <w:rPr>
          <w:rFonts w:eastAsia="Times New Roman"/>
          <w:color w:val="auto"/>
          <w:lang w:eastAsia="en-US"/>
        </w:rPr>
        <w:t xml:space="preserve"> </w:t>
      </w:r>
      <w:r>
        <w:rPr>
          <w:rFonts w:eastAsia="Times New Roman"/>
          <w:color w:val="auto"/>
          <w:lang w:eastAsia="en-US"/>
        </w:rPr>
        <w:t>unacceptable professional conduct</w:t>
      </w:r>
      <w:r w:rsidRPr="00EB148F">
        <w:rPr>
          <w:rFonts w:eastAsia="Times New Roman"/>
          <w:color w:val="auto"/>
          <w:lang w:eastAsia="en-US"/>
        </w:rPr>
        <w:t xml:space="preserve"> has not been reached in a particular case. It is envisaged that any advice given would address specific areas of the registrant’s future conduct or performance.</w:t>
      </w:r>
    </w:p>
    <w:p w:rsidR="00940239" w:rsidRPr="00EB148F" w:rsidRDefault="00940239" w:rsidP="00A73064">
      <w:pPr>
        <w:rPr>
          <w:rFonts w:eastAsia="Times New Roman"/>
          <w:color w:val="auto"/>
          <w:lang w:eastAsia="en-US"/>
        </w:rPr>
      </w:pPr>
      <w:r w:rsidRPr="00EB148F">
        <w:rPr>
          <w:rFonts w:eastAsia="Times New Roman"/>
          <w:color w:val="auto"/>
          <w:lang w:eastAsia="en-US"/>
        </w:rPr>
        <w:t>Issuing advice in appropriate cases w</w:t>
      </w:r>
      <w:r w:rsidR="00FE5D77">
        <w:rPr>
          <w:rFonts w:eastAsia="Times New Roman"/>
          <w:color w:val="auto"/>
          <w:lang w:eastAsia="en-US"/>
        </w:rPr>
        <w:t xml:space="preserve">here </w:t>
      </w:r>
      <w:r w:rsidR="007E1B6F">
        <w:rPr>
          <w:rFonts w:eastAsia="Times New Roman"/>
          <w:color w:val="auto"/>
          <w:lang w:eastAsia="en-US"/>
        </w:rPr>
        <w:t xml:space="preserve">the </w:t>
      </w:r>
      <w:r w:rsidR="00FE5D77">
        <w:rPr>
          <w:rFonts w:eastAsia="Times New Roman"/>
          <w:color w:val="auto"/>
          <w:lang w:eastAsia="en-US"/>
        </w:rPr>
        <w:t>alleged</w:t>
      </w:r>
      <w:r w:rsidR="007173D9">
        <w:rPr>
          <w:rFonts w:eastAsia="Times New Roman"/>
          <w:color w:val="auto"/>
          <w:lang w:eastAsia="en-US"/>
        </w:rPr>
        <w:t xml:space="preserve"> conduct</w:t>
      </w:r>
      <w:r w:rsidR="00FE5D77">
        <w:rPr>
          <w:rFonts w:eastAsia="Times New Roman"/>
          <w:color w:val="auto"/>
          <w:lang w:eastAsia="en-US"/>
        </w:rPr>
        <w:t xml:space="preserve"> falls</w:t>
      </w:r>
      <w:r>
        <w:rPr>
          <w:rFonts w:eastAsia="Times New Roman"/>
          <w:color w:val="auto"/>
          <w:lang w:eastAsia="en-US"/>
        </w:rPr>
        <w:t xml:space="preserve"> short of the threshold for unacceptable professional conduct</w:t>
      </w:r>
      <w:r w:rsidRPr="00EB148F">
        <w:rPr>
          <w:rFonts w:eastAsia="Times New Roman"/>
          <w:color w:val="auto"/>
          <w:lang w:eastAsia="en-US"/>
        </w:rPr>
        <w:t xml:space="preserve"> would </w:t>
      </w:r>
      <w:r w:rsidR="007173D9">
        <w:rPr>
          <w:rFonts w:eastAsia="Times New Roman"/>
          <w:color w:val="auto"/>
          <w:lang w:eastAsia="en-US"/>
        </w:rPr>
        <w:t xml:space="preserve">align </w:t>
      </w:r>
      <w:r w:rsidRPr="00EB148F">
        <w:rPr>
          <w:rFonts w:eastAsia="Times New Roman"/>
          <w:color w:val="auto"/>
          <w:lang w:eastAsia="en-US"/>
        </w:rPr>
        <w:t>with the GOsC’s overarching objective</w:t>
      </w:r>
      <w:r w:rsidR="007173D9">
        <w:rPr>
          <w:rFonts w:eastAsia="Times New Roman"/>
          <w:color w:val="auto"/>
          <w:lang w:eastAsia="en-US"/>
        </w:rPr>
        <w:t xml:space="preserve">, </w:t>
      </w:r>
      <w:r w:rsidRPr="00EB148F">
        <w:rPr>
          <w:rFonts w:eastAsia="Times New Roman"/>
          <w:color w:val="auto"/>
          <w:lang w:eastAsia="en-US"/>
        </w:rPr>
        <w:t xml:space="preserve">and would assist in maintaining confidence in the osteopathic profession whilst promoting and </w:t>
      </w:r>
      <w:r w:rsidR="007173D9">
        <w:rPr>
          <w:rFonts w:eastAsia="Times New Roman"/>
          <w:color w:val="auto"/>
          <w:lang w:eastAsia="en-US"/>
        </w:rPr>
        <w:t xml:space="preserve">upholding </w:t>
      </w:r>
      <w:r w:rsidRPr="00EB148F">
        <w:rPr>
          <w:rFonts w:eastAsia="Times New Roman"/>
          <w:color w:val="auto"/>
          <w:lang w:eastAsia="en-US"/>
        </w:rPr>
        <w:t>proper professional standards.</w:t>
      </w:r>
    </w:p>
    <w:p w:rsidR="00940239" w:rsidRPr="00EB148F" w:rsidRDefault="00940239" w:rsidP="00A73064">
      <w:pPr>
        <w:rPr>
          <w:rFonts w:eastAsia="Times New Roman"/>
          <w:color w:val="auto"/>
          <w:lang w:eastAsia="en-US"/>
        </w:rPr>
      </w:pPr>
      <w:r w:rsidRPr="00EB148F">
        <w:rPr>
          <w:rFonts w:eastAsia="Times New Roman"/>
          <w:color w:val="auto"/>
          <w:lang w:eastAsia="en-US"/>
        </w:rPr>
        <w:t>If the PCC decide</w:t>
      </w:r>
      <w:r w:rsidR="004F7DE0">
        <w:rPr>
          <w:rFonts w:eastAsia="Times New Roman"/>
          <w:color w:val="auto"/>
          <w:lang w:eastAsia="en-US"/>
        </w:rPr>
        <w:t>s</w:t>
      </w:r>
      <w:r w:rsidRPr="00EB148F">
        <w:rPr>
          <w:rFonts w:eastAsia="Times New Roman"/>
          <w:color w:val="auto"/>
          <w:lang w:eastAsia="en-US"/>
        </w:rPr>
        <w:t xml:space="preserve"> advice is appropriate</w:t>
      </w:r>
      <w:r w:rsidR="00FD1A7B">
        <w:rPr>
          <w:rFonts w:eastAsia="Times New Roman"/>
          <w:color w:val="auto"/>
          <w:lang w:eastAsia="en-US"/>
        </w:rPr>
        <w:t>,</w:t>
      </w:r>
      <w:r w:rsidRPr="00EB148F">
        <w:rPr>
          <w:rFonts w:eastAsia="Times New Roman"/>
          <w:color w:val="auto"/>
          <w:lang w:eastAsia="en-US"/>
        </w:rPr>
        <w:t xml:space="preserve"> it must clearly set out what that advice should be with reference to the </w:t>
      </w:r>
      <w:r w:rsidRPr="00780A25">
        <w:rPr>
          <w:rFonts w:eastAsia="Times New Roman"/>
          <w:i/>
          <w:color w:val="auto"/>
          <w:lang w:eastAsia="en-US"/>
        </w:rPr>
        <w:t>Osteopathic Practice Standards</w:t>
      </w:r>
      <w:r w:rsidRPr="00EB148F">
        <w:rPr>
          <w:rFonts w:eastAsia="Times New Roman"/>
          <w:color w:val="auto"/>
          <w:lang w:eastAsia="en-US"/>
        </w:rPr>
        <w:t>. Any advice must be relevant to the allegations found proved by the PCC.</w:t>
      </w:r>
    </w:p>
    <w:p w:rsidR="00940239" w:rsidRPr="00EB148F" w:rsidRDefault="00940239" w:rsidP="00A73064">
      <w:pPr>
        <w:rPr>
          <w:rFonts w:eastAsia="Times New Roman"/>
          <w:color w:val="auto"/>
          <w:lang w:eastAsia="en-US"/>
        </w:rPr>
      </w:pPr>
      <w:r w:rsidRPr="00EB148F">
        <w:rPr>
          <w:rFonts w:eastAsia="Times New Roman"/>
          <w:b/>
          <w:color w:val="auto"/>
          <w:lang w:eastAsia="en-US"/>
        </w:rPr>
        <w:t>Note</w:t>
      </w:r>
      <w:r w:rsidRPr="00EB148F">
        <w:rPr>
          <w:rFonts w:eastAsia="Times New Roman"/>
          <w:color w:val="auto"/>
          <w:lang w:eastAsia="en-US"/>
        </w:rPr>
        <w:t xml:space="preserve">: </w:t>
      </w:r>
      <w:r w:rsidR="00FD1A7B">
        <w:rPr>
          <w:rFonts w:eastAsia="Times New Roman"/>
          <w:color w:val="auto"/>
          <w:lang w:eastAsia="en-US"/>
        </w:rPr>
        <w:t>A</w:t>
      </w:r>
      <w:r w:rsidR="00FD1A7B" w:rsidRPr="00EB148F">
        <w:rPr>
          <w:rFonts w:eastAsia="Times New Roman"/>
          <w:color w:val="auto"/>
          <w:lang w:eastAsia="en-US"/>
        </w:rPr>
        <w:t>n</w:t>
      </w:r>
      <w:r w:rsidRPr="00EB148F">
        <w:rPr>
          <w:rFonts w:eastAsia="Times New Roman"/>
          <w:color w:val="auto"/>
          <w:lang w:eastAsia="en-US"/>
        </w:rPr>
        <w:t>y advice issued will not be recorded on the Register of Osteopaths as it is not a formal sanction nor would any restrictions be placed on the osteopath’s registration.</w:t>
      </w:r>
    </w:p>
    <w:p w:rsidR="00940239" w:rsidRPr="00950D90" w:rsidRDefault="00940239" w:rsidP="007E1B6F">
      <w:pPr>
        <w:spacing w:after="120"/>
        <w:rPr>
          <w:rFonts w:eastAsia="Times New Roman"/>
          <w:b/>
          <w:color w:val="auto"/>
          <w:lang w:eastAsia="en-US"/>
        </w:rPr>
      </w:pPr>
      <w:r w:rsidRPr="00950D90">
        <w:rPr>
          <w:rFonts w:eastAsia="Times New Roman"/>
          <w:b/>
          <w:color w:val="auto"/>
          <w:lang w:eastAsia="en-US"/>
        </w:rPr>
        <w:t>Admonishment</w:t>
      </w:r>
    </w:p>
    <w:p w:rsidR="00940239" w:rsidRPr="00EB148F" w:rsidRDefault="00940239" w:rsidP="007E1B6F">
      <w:pPr>
        <w:rPr>
          <w:rFonts w:eastAsia="Times New Roman"/>
          <w:color w:val="auto"/>
          <w:lang w:eastAsia="en-US"/>
        </w:rPr>
      </w:pPr>
      <w:r w:rsidRPr="00EB148F">
        <w:rPr>
          <w:rFonts w:eastAsia="Times New Roman"/>
          <w:color w:val="auto"/>
          <w:lang w:eastAsia="en-US"/>
        </w:rPr>
        <w:t>An admonishment is the lowest sanction that can be applied and may be appropriate where the failing or conduct is at the lower end of the spectrum. An admonishment has no direct effect on an osteopath’s practice and should only be taken if the osteopath is fit to continue practising without any restrictions. An admonishment is publicised and will remain on the osteopath’s fitness to practise record.</w:t>
      </w:r>
    </w:p>
    <w:p w:rsidR="00940239" w:rsidRDefault="00940239" w:rsidP="007E1B6F">
      <w:pPr>
        <w:rPr>
          <w:rFonts w:eastAsia="Times New Roman"/>
          <w:color w:val="auto"/>
          <w:lang w:eastAsia="en-US"/>
        </w:rPr>
      </w:pPr>
      <w:r w:rsidRPr="00EB148F">
        <w:rPr>
          <w:rFonts w:eastAsia="Times New Roman"/>
          <w:color w:val="auto"/>
          <w:lang w:eastAsia="en-US"/>
        </w:rPr>
        <w:t xml:space="preserve">An admonishment may be appropriate when </w:t>
      </w:r>
      <w:r w:rsidRPr="008442A8">
        <w:rPr>
          <w:rFonts w:eastAsia="Times New Roman"/>
          <w:b/>
          <w:color w:val="auto"/>
          <w:lang w:eastAsia="en-US"/>
        </w:rPr>
        <w:t>most</w:t>
      </w:r>
      <w:r w:rsidRPr="00EB148F">
        <w:rPr>
          <w:rFonts w:eastAsia="Times New Roman"/>
          <w:color w:val="auto"/>
          <w:lang w:eastAsia="en-US"/>
        </w:rPr>
        <w:t xml:space="preserve"> of the following factors are present (this list is not exhaustive):</w:t>
      </w:r>
    </w:p>
    <w:tbl>
      <w:tblPr>
        <w:tblStyle w:val="TableGrid2"/>
        <w:tblW w:w="0" w:type="auto"/>
        <w:tblInd w:w="108" w:type="dxa"/>
        <w:tblLook w:val="04A0" w:firstRow="1" w:lastRow="0" w:firstColumn="1" w:lastColumn="0" w:noHBand="0" w:noVBand="1"/>
      </w:tblPr>
      <w:tblGrid>
        <w:gridCol w:w="9134"/>
      </w:tblGrid>
      <w:tr w:rsidR="00940239" w:rsidRPr="00EB148F" w:rsidTr="007E1B6F">
        <w:trPr>
          <w:trHeight w:val="3965"/>
        </w:trPr>
        <w:tc>
          <w:tcPr>
            <w:tcW w:w="9134" w:type="dxa"/>
            <w:tcBorders>
              <w:top w:val="single" w:sz="12" w:space="0" w:color="auto"/>
              <w:left w:val="single" w:sz="12" w:space="0" w:color="auto"/>
              <w:right w:val="single" w:sz="12" w:space="0" w:color="auto"/>
            </w:tcBorders>
          </w:tcPr>
          <w:p w:rsidR="00940239" w:rsidRDefault="007E1B6F" w:rsidP="005D2D57">
            <w:pPr>
              <w:numPr>
                <w:ilvl w:val="0"/>
                <w:numId w:val="23"/>
              </w:numPr>
              <w:tabs>
                <w:tab w:val="clear" w:pos="864"/>
                <w:tab w:val="num" w:pos="601"/>
              </w:tabs>
              <w:spacing w:before="120" w:after="120"/>
              <w:ind w:left="601" w:hanging="425"/>
              <w:rPr>
                <w:rFonts w:ascii="Tahoma" w:eastAsia="Times New Roman" w:hAnsi="Tahoma"/>
                <w:szCs w:val="24"/>
                <w:lang w:eastAsia="en-US"/>
              </w:rPr>
            </w:pPr>
            <w:r>
              <w:rPr>
                <w:rFonts w:ascii="Tahoma" w:eastAsia="Times New Roman" w:hAnsi="Tahoma"/>
                <w:szCs w:val="24"/>
                <w:lang w:eastAsia="en-US"/>
              </w:rPr>
              <w:t>t</w:t>
            </w:r>
            <w:r w:rsidR="00940239" w:rsidRPr="00EB148F">
              <w:rPr>
                <w:rFonts w:ascii="Tahoma" w:eastAsia="Times New Roman" w:hAnsi="Tahoma"/>
                <w:szCs w:val="24"/>
                <w:lang w:eastAsia="en-US"/>
              </w:rPr>
              <w:t>here is no evidence to suggest that the osteopath poses any danger to the public</w:t>
            </w:r>
          </w:p>
          <w:p w:rsidR="00940239" w:rsidRDefault="007E1B6F" w:rsidP="005D2D57">
            <w:pPr>
              <w:numPr>
                <w:ilvl w:val="0"/>
                <w:numId w:val="23"/>
              </w:numPr>
              <w:tabs>
                <w:tab w:val="num" w:pos="601"/>
              </w:tabs>
              <w:spacing w:before="120" w:after="120"/>
              <w:ind w:left="601" w:hanging="425"/>
              <w:rPr>
                <w:rFonts w:ascii="Tahoma" w:eastAsia="Times New Roman" w:hAnsi="Tahoma"/>
                <w:szCs w:val="24"/>
                <w:lang w:eastAsia="en-US"/>
              </w:rPr>
            </w:pPr>
            <w:r>
              <w:rPr>
                <w:rFonts w:ascii="Tahoma" w:eastAsia="Times New Roman" w:hAnsi="Tahoma"/>
                <w:szCs w:val="24"/>
                <w:lang w:eastAsia="en-US"/>
              </w:rPr>
              <w:t>t</w:t>
            </w:r>
            <w:r w:rsidR="00940239" w:rsidRPr="00EB148F">
              <w:rPr>
                <w:rFonts w:ascii="Tahoma" w:eastAsia="Times New Roman" w:hAnsi="Tahoma"/>
                <w:szCs w:val="24"/>
                <w:lang w:eastAsia="en-US"/>
              </w:rPr>
              <w:t>he osteopath has shown insight into their failings</w:t>
            </w:r>
          </w:p>
          <w:p w:rsidR="00940239" w:rsidRDefault="007E1B6F" w:rsidP="005D2D57">
            <w:pPr>
              <w:numPr>
                <w:ilvl w:val="0"/>
                <w:numId w:val="23"/>
              </w:numPr>
              <w:tabs>
                <w:tab w:val="num" w:pos="601"/>
              </w:tabs>
              <w:spacing w:before="120" w:after="120"/>
              <w:ind w:left="601" w:hanging="425"/>
              <w:rPr>
                <w:rFonts w:ascii="Tahoma" w:eastAsia="Times New Roman" w:hAnsi="Tahoma"/>
                <w:szCs w:val="24"/>
                <w:lang w:eastAsia="en-US"/>
              </w:rPr>
            </w:pPr>
            <w:r>
              <w:rPr>
                <w:rFonts w:ascii="Tahoma" w:eastAsia="Times New Roman" w:hAnsi="Tahoma"/>
                <w:szCs w:val="24"/>
                <w:lang w:eastAsia="en-US"/>
              </w:rPr>
              <w:t>t</w:t>
            </w:r>
            <w:r w:rsidR="00940239" w:rsidRPr="00EB148F">
              <w:rPr>
                <w:rFonts w:ascii="Tahoma" w:eastAsia="Times New Roman" w:hAnsi="Tahoma"/>
                <w:szCs w:val="24"/>
                <w:lang w:eastAsia="en-US"/>
              </w:rPr>
              <w:t>he behaviour was an isolated incident</w:t>
            </w:r>
          </w:p>
          <w:p w:rsidR="00940239" w:rsidRDefault="007E1B6F" w:rsidP="005D2D57">
            <w:pPr>
              <w:numPr>
                <w:ilvl w:val="0"/>
                <w:numId w:val="23"/>
              </w:numPr>
              <w:tabs>
                <w:tab w:val="num" w:pos="601"/>
              </w:tabs>
              <w:spacing w:before="120" w:after="120"/>
              <w:ind w:left="601" w:hanging="425"/>
              <w:rPr>
                <w:rFonts w:ascii="Tahoma" w:eastAsia="Times New Roman" w:hAnsi="Tahoma"/>
                <w:szCs w:val="24"/>
                <w:lang w:eastAsia="en-US"/>
              </w:rPr>
            </w:pPr>
            <w:r>
              <w:rPr>
                <w:rFonts w:ascii="Tahoma" w:eastAsia="Times New Roman" w:hAnsi="Tahoma"/>
                <w:szCs w:val="24"/>
                <w:lang w:eastAsia="en-US"/>
              </w:rPr>
              <w:t>t</w:t>
            </w:r>
            <w:r w:rsidR="00940239" w:rsidRPr="00EB148F">
              <w:rPr>
                <w:rFonts w:ascii="Tahoma" w:eastAsia="Times New Roman" w:hAnsi="Tahoma"/>
                <w:szCs w:val="24"/>
                <w:lang w:eastAsia="en-US"/>
              </w:rPr>
              <w:t>he behaviour was not deliberate</w:t>
            </w:r>
          </w:p>
          <w:p w:rsidR="00940239" w:rsidRDefault="007E1B6F" w:rsidP="005D2D57">
            <w:pPr>
              <w:numPr>
                <w:ilvl w:val="0"/>
                <w:numId w:val="23"/>
              </w:numPr>
              <w:tabs>
                <w:tab w:val="clear" w:pos="864"/>
                <w:tab w:val="num" w:pos="601"/>
              </w:tabs>
              <w:spacing w:before="120" w:after="120"/>
              <w:ind w:left="601" w:hanging="425"/>
              <w:rPr>
                <w:rFonts w:ascii="Tahoma" w:eastAsia="Times New Roman" w:hAnsi="Tahoma"/>
                <w:szCs w:val="24"/>
                <w:lang w:eastAsia="en-US"/>
              </w:rPr>
            </w:pPr>
            <w:r>
              <w:rPr>
                <w:rFonts w:ascii="Tahoma" w:eastAsia="Times New Roman" w:hAnsi="Tahoma"/>
                <w:szCs w:val="24"/>
                <w:lang w:eastAsia="en-US"/>
              </w:rPr>
              <w:t>t</w:t>
            </w:r>
            <w:r w:rsidR="00940239" w:rsidRPr="00EB148F">
              <w:rPr>
                <w:rFonts w:ascii="Tahoma" w:eastAsia="Times New Roman" w:hAnsi="Tahoma"/>
                <w:szCs w:val="24"/>
                <w:lang w:eastAsia="en-US"/>
              </w:rPr>
              <w:t>here has been no repetition of the behaviour since t</w:t>
            </w:r>
            <w:r w:rsidR="00472912">
              <w:rPr>
                <w:rFonts w:ascii="Tahoma" w:eastAsia="Times New Roman" w:hAnsi="Tahoma"/>
                <w:szCs w:val="24"/>
                <w:lang w:eastAsia="en-US"/>
              </w:rPr>
              <w:t>he incident</w:t>
            </w:r>
          </w:p>
          <w:p w:rsidR="00940239" w:rsidRDefault="007E1B6F" w:rsidP="005D2D57">
            <w:pPr>
              <w:numPr>
                <w:ilvl w:val="0"/>
                <w:numId w:val="23"/>
              </w:numPr>
              <w:tabs>
                <w:tab w:val="num" w:pos="601"/>
              </w:tabs>
              <w:spacing w:before="120" w:after="120"/>
              <w:ind w:left="601" w:hanging="425"/>
              <w:rPr>
                <w:rFonts w:ascii="Tahoma" w:eastAsia="Times New Roman" w:hAnsi="Tahoma"/>
                <w:szCs w:val="24"/>
                <w:lang w:eastAsia="en-US"/>
              </w:rPr>
            </w:pPr>
            <w:r>
              <w:rPr>
                <w:rFonts w:ascii="Tahoma" w:eastAsia="Times New Roman" w:hAnsi="Tahoma"/>
                <w:szCs w:val="24"/>
                <w:lang w:eastAsia="en-US"/>
              </w:rPr>
              <w:t>t</w:t>
            </w:r>
            <w:r w:rsidR="00940239" w:rsidRPr="00EB148F">
              <w:rPr>
                <w:rFonts w:ascii="Tahoma" w:eastAsia="Times New Roman" w:hAnsi="Tahoma"/>
                <w:szCs w:val="24"/>
                <w:lang w:eastAsia="en-US"/>
              </w:rPr>
              <w:t>he osteopath had acted under duress</w:t>
            </w:r>
          </w:p>
          <w:p w:rsidR="00940239" w:rsidRDefault="007E1B6F" w:rsidP="005D2D57">
            <w:pPr>
              <w:numPr>
                <w:ilvl w:val="0"/>
                <w:numId w:val="23"/>
              </w:numPr>
              <w:tabs>
                <w:tab w:val="num" w:pos="601"/>
              </w:tabs>
              <w:spacing w:before="120" w:after="120"/>
              <w:ind w:left="601" w:hanging="425"/>
              <w:rPr>
                <w:rFonts w:ascii="Tahoma" w:eastAsia="Times New Roman" w:hAnsi="Tahoma"/>
                <w:szCs w:val="24"/>
                <w:lang w:eastAsia="en-US"/>
              </w:rPr>
            </w:pPr>
            <w:r>
              <w:rPr>
                <w:rFonts w:ascii="Tahoma" w:eastAsia="Times New Roman" w:hAnsi="Tahoma"/>
                <w:szCs w:val="24"/>
                <w:lang w:eastAsia="en-US"/>
              </w:rPr>
              <w:t>t</w:t>
            </w:r>
            <w:r w:rsidR="00940239" w:rsidRPr="00EB148F">
              <w:rPr>
                <w:rFonts w:ascii="Tahoma" w:eastAsia="Times New Roman" w:hAnsi="Tahoma"/>
                <w:szCs w:val="24"/>
                <w:lang w:eastAsia="en-US"/>
              </w:rPr>
              <w:t>he osteopath has genuinely expressed remorse</w:t>
            </w:r>
          </w:p>
          <w:p w:rsidR="00940239" w:rsidRDefault="007E1B6F" w:rsidP="005D2D57">
            <w:pPr>
              <w:numPr>
                <w:ilvl w:val="0"/>
                <w:numId w:val="23"/>
              </w:numPr>
              <w:tabs>
                <w:tab w:val="num" w:pos="601"/>
              </w:tabs>
              <w:spacing w:before="120" w:after="120"/>
              <w:ind w:left="601" w:hanging="425"/>
              <w:rPr>
                <w:rFonts w:ascii="Tahoma" w:eastAsia="Times New Roman" w:hAnsi="Tahoma"/>
                <w:szCs w:val="24"/>
                <w:lang w:eastAsia="en-US"/>
              </w:rPr>
            </w:pPr>
            <w:r>
              <w:rPr>
                <w:rFonts w:ascii="Tahoma" w:eastAsia="Times New Roman" w:hAnsi="Tahoma"/>
                <w:szCs w:val="24"/>
                <w:lang w:eastAsia="en-US"/>
              </w:rPr>
              <w:t>t</w:t>
            </w:r>
            <w:r w:rsidR="00940239" w:rsidRPr="00EB148F">
              <w:rPr>
                <w:rFonts w:ascii="Tahoma" w:eastAsia="Times New Roman" w:hAnsi="Tahoma"/>
                <w:szCs w:val="24"/>
                <w:lang w:eastAsia="en-US"/>
              </w:rPr>
              <w:t>here is evidence that the osteopath has taken rehabilitative/corrective steps</w:t>
            </w:r>
          </w:p>
          <w:p w:rsidR="00940239" w:rsidRPr="00EB148F" w:rsidRDefault="007E1B6F" w:rsidP="005D2D57">
            <w:pPr>
              <w:numPr>
                <w:ilvl w:val="0"/>
                <w:numId w:val="23"/>
              </w:numPr>
              <w:tabs>
                <w:tab w:val="clear" w:pos="864"/>
                <w:tab w:val="num" w:pos="601"/>
              </w:tabs>
              <w:spacing w:before="120" w:after="120"/>
              <w:ind w:left="601" w:hanging="425"/>
              <w:rPr>
                <w:rFonts w:ascii="Tahoma" w:eastAsia="Times New Roman" w:hAnsi="Tahoma"/>
                <w:szCs w:val="24"/>
                <w:lang w:eastAsia="en-US"/>
              </w:rPr>
            </w:pPr>
            <w:r>
              <w:rPr>
                <w:rFonts w:ascii="Tahoma" w:eastAsia="Times New Roman" w:hAnsi="Tahoma"/>
                <w:szCs w:val="24"/>
                <w:lang w:eastAsia="en-US"/>
              </w:rPr>
              <w:t>t</w:t>
            </w:r>
            <w:r w:rsidR="00940239" w:rsidRPr="00EB148F">
              <w:rPr>
                <w:rFonts w:ascii="Tahoma" w:eastAsia="Times New Roman" w:hAnsi="Tahoma"/>
                <w:szCs w:val="24"/>
                <w:lang w:eastAsia="en-US"/>
              </w:rPr>
              <w:t>he osteopath has previous good history.</w:t>
            </w:r>
          </w:p>
        </w:tc>
      </w:tr>
    </w:tbl>
    <w:p w:rsidR="00940239" w:rsidRDefault="00940239" w:rsidP="007E1B6F">
      <w:pPr>
        <w:spacing w:before="240"/>
        <w:rPr>
          <w:rFonts w:eastAsia="Times New Roman"/>
          <w:color w:val="auto"/>
          <w:lang w:eastAsia="en-US"/>
        </w:rPr>
      </w:pPr>
      <w:r w:rsidRPr="00EB148F">
        <w:rPr>
          <w:rFonts w:eastAsia="Times New Roman"/>
          <w:color w:val="auto"/>
          <w:lang w:eastAsia="en-US"/>
        </w:rPr>
        <w:t>The decision to admonish an osteopath will take effect in 28 days, beginning with the date on which notification of the decision is served on the osteopath, unless there is an appeal against the decision.</w:t>
      </w:r>
    </w:p>
    <w:p w:rsidR="00940239" w:rsidRPr="00950D90" w:rsidRDefault="00940239" w:rsidP="007E1B6F">
      <w:pPr>
        <w:spacing w:after="120"/>
        <w:rPr>
          <w:rFonts w:eastAsia="Times New Roman"/>
          <w:b/>
          <w:color w:val="auto"/>
          <w:lang w:eastAsia="en-US"/>
        </w:rPr>
      </w:pPr>
      <w:r w:rsidRPr="00950D90">
        <w:rPr>
          <w:rFonts w:eastAsia="Times New Roman"/>
          <w:b/>
          <w:color w:val="auto"/>
          <w:lang w:eastAsia="en-US"/>
        </w:rPr>
        <w:t>Conditions of Practice Order</w:t>
      </w:r>
      <w:r w:rsidR="00950D90">
        <w:rPr>
          <w:rFonts w:eastAsia="Times New Roman"/>
          <w:b/>
          <w:color w:val="auto"/>
          <w:lang w:eastAsia="en-US"/>
        </w:rPr>
        <w:t xml:space="preserve"> (</w:t>
      </w:r>
      <w:r w:rsidR="00DE7B67">
        <w:rPr>
          <w:rFonts w:eastAsia="Times New Roman"/>
          <w:b/>
          <w:color w:val="auto"/>
          <w:lang w:eastAsia="en-US"/>
        </w:rPr>
        <w:t>COPO</w:t>
      </w:r>
      <w:r w:rsidR="00950D90">
        <w:rPr>
          <w:rFonts w:eastAsia="Times New Roman"/>
          <w:b/>
          <w:color w:val="auto"/>
          <w:lang w:eastAsia="en-US"/>
        </w:rPr>
        <w:t>)</w:t>
      </w:r>
    </w:p>
    <w:p w:rsidR="00940239" w:rsidRPr="00EB148F" w:rsidRDefault="00DE7B67" w:rsidP="00827D29">
      <w:pPr>
        <w:spacing w:after="160"/>
        <w:rPr>
          <w:rFonts w:eastAsia="Times New Roman"/>
          <w:color w:val="auto"/>
          <w:lang w:eastAsia="en-US"/>
        </w:rPr>
      </w:pPr>
      <w:r>
        <w:rPr>
          <w:rFonts w:eastAsia="Times New Roman"/>
          <w:color w:val="auto"/>
          <w:lang w:eastAsia="en-US"/>
        </w:rPr>
        <w:t>COPO</w:t>
      </w:r>
      <w:r w:rsidR="00940239" w:rsidRPr="00EB148F">
        <w:rPr>
          <w:rFonts w:eastAsia="Times New Roman"/>
          <w:color w:val="auto"/>
          <w:lang w:eastAsia="en-US"/>
        </w:rPr>
        <w:t xml:space="preserve"> allows the osteopath to continue practising whilst providing protection for the public and patients. This sanction will affect the osteopath’s practice and may be appropriate when </w:t>
      </w:r>
      <w:r w:rsidR="00940239" w:rsidRPr="008442A8">
        <w:rPr>
          <w:rFonts w:eastAsia="Times New Roman"/>
          <w:b/>
          <w:color w:val="auto"/>
          <w:lang w:eastAsia="en-US"/>
        </w:rPr>
        <w:t>most</w:t>
      </w:r>
      <w:r w:rsidR="00940239" w:rsidRPr="00EB148F">
        <w:rPr>
          <w:rFonts w:eastAsia="Times New Roman"/>
          <w:color w:val="auto"/>
          <w:lang w:eastAsia="en-US"/>
        </w:rPr>
        <w:t xml:space="preserve"> of the following factors are apparent (this list is not exhaustive):</w:t>
      </w:r>
    </w:p>
    <w:tbl>
      <w:tblPr>
        <w:tblStyle w:val="TableGrid2"/>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9134"/>
      </w:tblGrid>
      <w:tr w:rsidR="00940239" w:rsidRPr="00EB148F" w:rsidTr="00B20292">
        <w:tc>
          <w:tcPr>
            <w:tcW w:w="9134" w:type="dxa"/>
            <w:shd w:val="clear" w:color="auto" w:fill="FFFFFF" w:themeFill="background1"/>
          </w:tcPr>
          <w:p w:rsidR="00940239" w:rsidRDefault="003D276F" w:rsidP="005D2D57">
            <w:pPr>
              <w:numPr>
                <w:ilvl w:val="0"/>
                <w:numId w:val="24"/>
              </w:numPr>
              <w:tabs>
                <w:tab w:val="clear" w:pos="864"/>
                <w:tab w:val="num" w:pos="601"/>
              </w:tabs>
              <w:spacing w:before="120" w:after="120"/>
              <w:ind w:left="601" w:hanging="425"/>
              <w:rPr>
                <w:rFonts w:ascii="Tahoma" w:eastAsia="Times New Roman" w:hAnsi="Tahoma"/>
                <w:szCs w:val="24"/>
                <w:lang w:eastAsia="en-US"/>
              </w:rPr>
            </w:pPr>
            <w:r>
              <w:rPr>
                <w:rFonts w:ascii="Tahoma" w:eastAsia="Times New Roman" w:hAnsi="Tahoma"/>
                <w:szCs w:val="24"/>
                <w:lang w:eastAsia="en-US"/>
              </w:rPr>
              <w:t>i</w:t>
            </w:r>
            <w:r w:rsidR="00940239" w:rsidRPr="00EB148F">
              <w:rPr>
                <w:rFonts w:ascii="Tahoma" w:eastAsia="Times New Roman" w:hAnsi="Tahoma"/>
                <w:szCs w:val="24"/>
                <w:lang w:eastAsia="en-US"/>
              </w:rPr>
              <w:t>t is possible to identify discrete aspects of the osteopath’s practice that are problematic</w:t>
            </w:r>
          </w:p>
          <w:p w:rsidR="00102BFF" w:rsidRDefault="007E1B6F" w:rsidP="005D2D57">
            <w:pPr>
              <w:numPr>
                <w:ilvl w:val="0"/>
                <w:numId w:val="24"/>
              </w:numPr>
              <w:tabs>
                <w:tab w:val="clear" w:pos="864"/>
                <w:tab w:val="num" w:pos="601"/>
              </w:tabs>
              <w:spacing w:before="120" w:after="120"/>
              <w:ind w:left="601" w:hanging="425"/>
              <w:rPr>
                <w:rFonts w:ascii="Tahoma" w:eastAsia="Times New Roman" w:hAnsi="Tahoma"/>
                <w:szCs w:val="24"/>
                <w:lang w:eastAsia="en-US"/>
              </w:rPr>
            </w:pPr>
            <w:r>
              <w:rPr>
                <w:rFonts w:ascii="Tahoma" w:eastAsia="Times New Roman" w:hAnsi="Tahoma"/>
                <w:szCs w:val="24"/>
                <w:lang w:eastAsia="en-US"/>
              </w:rPr>
              <w:t>c</w:t>
            </w:r>
            <w:r w:rsidR="00102BFF">
              <w:rPr>
                <w:rFonts w:ascii="Tahoma" w:eastAsia="Times New Roman" w:hAnsi="Tahoma"/>
                <w:szCs w:val="24"/>
                <w:lang w:eastAsia="en-US"/>
              </w:rPr>
              <w:t>onditions are the most appropriate and proportionate way of addressing the PCC findings</w:t>
            </w:r>
          </w:p>
          <w:p w:rsidR="00940239" w:rsidRDefault="007E1B6F" w:rsidP="005D2D57">
            <w:pPr>
              <w:numPr>
                <w:ilvl w:val="0"/>
                <w:numId w:val="24"/>
              </w:numPr>
              <w:tabs>
                <w:tab w:val="clear" w:pos="864"/>
                <w:tab w:val="num" w:pos="601"/>
              </w:tabs>
              <w:spacing w:before="120" w:after="120"/>
              <w:ind w:left="601" w:hanging="425"/>
              <w:rPr>
                <w:rFonts w:ascii="Tahoma" w:eastAsia="Times New Roman" w:hAnsi="Tahoma"/>
                <w:szCs w:val="24"/>
                <w:lang w:eastAsia="en-US"/>
              </w:rPr>
            </w:pPr>
            <w:r>
              <w:rPr>
                <w:rFonts w:ascii="Tahoma" w:eastAsia="Times New Roman" w:hAnsi="Tahoma"/>
                <w:szCs w:val="24"/>
                <w:lang w:eastAsia="en-US"/>
              </w:rPr>
              <w:t>a</w:t>
            </w:r>
            <w:r w:rsidR="00940239" w:rsidRPr="00EB148F">
              <w:rPr>
                <w:rFonts w:ascii="Tahoma" w:eastAsia="Times New Roman" w:hAnsi="Tahoma"/>
                <w:szCs w:val="24"/>
                <w:lang w:eastAsia="en-US"/>
              </w:rPr>
              <w:t>ny incompetence found is not to such a degree that patients will be put at risk directly or indirectly as a result of continued registration with conditions</w:t>
            </w:r>
          </w:p>
          <w:p w:rsidR="00940239" w:rsidRDefault="007E1B6F" w:rsidP="005D2D57">
            <w:pPr>
              <w:numPr>
                <w:ilvl w:val="0"/>
                <w:numId w:val="24"/>
              </w:numPr>
              <w:tabs>
                <w:tab w:val="clear" w:pos="864"/>
                <w:tab w:val="num" w:pos="601"/>
              </w:tabs>
              <w:spacing w:before="120" w:after="120"/>
              <w:ind w:left="601" w:hanging="425"/>
              <w:rPr>
                <w:rFonts w:ascii="Tahoma" w:eastAsia="Times New Roman" w:hAnsi="Tahoma"/>
                <w:szCs w:val="24"/>
                <w:lang w:eastAsia="en-US"/>
              </w:rPr>
            </w:pPr>
            <w:r>
              <w:rPr>
                <w:rFonts w:ascii="Tahoma" w:eastAsia="Times New Roman" w:hAnsi="Tahoma"/>
                <w:szCs w:val="24"/>
                <w:lang w:eastAsia="en-US"/>
              </w:rPr>
              <w:t>t</w:t>
            </w:r>
            <w:r w:rsidR="00940239" w:rsidRPr="00EB148F">
              <w:rPr>
                <w:rFonts w:ascii="Tahoma" w:eastAsia="Times New Roman" w:hAnsi="Tahoma"/>
                <w:szCs w:val="24"/>
                <w:lang w:eastAsia="en-US"/>
              </w:rPr>
              <w:t>here is no evidence of harmful, deep-seated personality or attitudinal problems</w:t>
            </w:r>
          </w:p>
          <w:p w:rsidR="00940239" w:rsidRDefault="007E1B6F" w:rsidP="005D2D57">
            <w:pPr>
              <w:numPr>
                <w:ilvl w:val="0"/>
                <w:numId w:val="24"/>
              </w:numPr>
              <w:tabs>
                <w:tab w:val="clear" w:pos="864"/>
                <w:tab w:val="num" w:pos="601"/>
              </w:tabs>
              <w:spacing w:before="120" w:after="120"/>
              <w:ind w:left="601" w:hanging="425"/>
              <w:rPr>
                <w:rFonts w:ascii="Tahoma" w:eastAsia="Times New Roman" w:hAnsi="Tahoma"/>
                <w:szCs w:val="24"/>
                <w:lang w:eastAsia="en-US"/>
              </w:rPr>
            </w:pPr>
            <w:r>
              <w:rPr>
                <w:rFonts w:ascii="Tahoma" w:eastAsia="Times New Roman" w:hAnsi="Tahoma"/>
                <w:szCs w:val="24"/>
                <w:lang w:eastAsia="en-US"/>
              </w:rPr>
              <w:t>t</w:t>
            </w:r>
            <w:r w:rsidR="00940239" w:rsidRPr="00EB148F">
              <w:rPr>
                <w:rFonts w:ascii="Tahoma" w:eastAsia="Times New Roman" w:hAnsi="Tahoma"/>
                <w:szCs w:val="24"/>
                <w:lang w:eastAsia="en-US"/>
              </w:rPr>
              <w:t>he osteopath has shown insight into their failings and there is evidence of a willingness to respond positively to conditions</w:t>
            </w:r>
            <w:r w:rsidR="00ED748F">
              <w:rPr>
                <w:rFonts w:ascii="Tahoma" w:eastAsia="Times New Roman" w:hAnsi="Tahoma"/>
                <w:szCs w:val="24"/>
                <w:lang w:eastAsia="en-US"/>
              </w:rPr>
              <w:t xml:space="preserve"> that improve</w:t>
            </w:r>
            <w:r w:rsidR="00102BFF">
              <w:rPr>
                <w:rFonts w:ascii="Tahoma" w:eastAsia="Times New Roman" w:hAnsi="Tahoma"/>
                <w:szCs w:val="24"/>
                <w:lang w:eastAsia="en-US"/>
              </w:rPr>
              <w:t xml:space="preserve"> the qua</w:t>
            </w:r>
            <w:r w:rsidR="00ED748F">
              <w:rPr>
                <w:rFonts w:ascii="Tahoma" w:eastAsia="Times New Roman" w:hAnsi="Tahoma"/>
                <w:szCs w:val="24"/>
                <w:lang w:eastAsia="en-US"/>
              </w:rPr>
              <w:t>lity of their work and promote</w:t>
            </w:r>
            <w:r w:rsidR="00102BFF">
              <w:rPr>
                <w:rFonts w:ascii="Tahoma" w:eastAsia="Times New Roman" w:hAnsi="Tahoma"/>
                <w:szCs w:val="24"/>
                <w:lang w:eastAsia="en-US"/>
              </w:rPr>
              <w:t xml:space="preserve"> patient safety</w:t>
            </w:r>
          </w:p>
          <w:p w:rsidR="00940239" w:rsidRDefault="007E1B6F" w:rsidP="005D2D57">
            <w:pPr>
              <w:numPr>
                <w:ilvl w:val="0"/>
                <w:numId w:val="24"/>
              </w:numPr>
              <w:tabs>
                <w:tab w:val="clear" w:pos="864"/>
                <w:tab w:val="num" w:pos="601"/>
              </w:tabs>
              <w:spacing w:before="120" w:after="120"/>
              <w:ind w:left="601" w:hanging="425"/>
              <w:rPr>
                <w:rFonts w:ascii="Tahoma" w:eastAsia="Times New Roman" w:hAnsi="Tahoma"/>
                <w:szCs w:val="24"/>
                <w:lang w:eastAsia="en-US"/>
              </w:rPr>
            </w:pPr>
            <w:r>
              <w:rPr>
                <w:rFonts w:ascii="Tahoma" w:eastAsia="Times New Roman" w:hAnsi="Tahoma"/>
                <w:szCs w:val="24"/>
                <w:lang w:eastAsia="en-US"/>
              </w:rPr>
              <w:t>t</w:t>
            </w:r>
            <w:r w:rsidR="00940239" w:rsidRPr="00EB148F">
              <w:rPr>
                <w:rFonts w:ascii="Tahoma" w:eastAsia="Times New Roman" w:hAnsi="Tahoma"/>
                <w:szCs w:val="24"/>
                <w:lang w:eastAsia="en-US"/>
              </w:rPr>
              <w:t>he osteopath has shown willingness to be open and honest with patients if things go wrong</w:t>
            </w:r>
          </w:p>
          <w:p w:rsidR="00940239" w:rsidRDefault="007E1B6F" w:rsidP="005D2D57">
            <w:pPr>
              <w:numPr>
                <w:ilvl w:val="0"/>
                <w:numId w:val="24"/>
              </w:numPr>
              <w:tabs>
                <w:tab w:val="clear" w:pos="864"/>
                <w:tab w:val="num" w:pos="601"/>
              </w:tabs>
              <w:spacing w:before="120" w:after="120"/>
              <w:ind w:left="601" w:hanging="425"/>
              <w:rPr>
                <w:rFonts w:ascii="Tahoma" w:eastAsia="Times New Roman" w:hAnsi="Tahoma"/>
                <w:szCs w:val="24"/>
                <w:lang w:eastAsia="en-US"/>
              </w:rPr>
            </w:pPr>
            <w:r>
              <w:rPr>
                <w:rFonts w:ascii="Tahoma" w:eastAsia="Times New Roman" w:hAnsi="Tahoma"/>
                <w:szCs w:val="24"/>
                <w:lang w:eastAsia="en-US"/>
              </w:rPr>
              <w:t>t</w:t>
            </w:r>
            <w:r w:rsidR="00940239" w:rsidRPr="00EB148F">
              <w:rPr>
                <w:rFonts w:ascii="Tahoma" w:eastAsia="Times New Roman" w:hAnsi="Tahoma"/>
                <w:szCs w:val="24"/>
                <w:lang w:eastAsia="en-US"/>
              </w:rPr>
              <w:t>he conditions will protect the public during the period they are in force</w:t>
            </w:r>
          </w:p>
          <w:p w:rsidR="00940239" w:rsidRPr="00EB148F" w:rsidRDefault="007E1B6F" w:rsidP="005D2D57">
            <w:pPr>
              <w:numPr>
                <w:ilvl w:val="0"/>
                <w:numId w:val="24"/>
              </w:numPr>
              <w:tabs>
                <w:tab w:val="clear" w:pos="864"/>
                <w:tab w:val="num" w:pos="601"/>
              </w:tabs>
              <w:spacing w:before="120" w:after="120"/>
              <w:ind w:left="601" w:hanging="425"/>
              <w:rPr>
                <w:rFonts w:ascii="Tahoma" w:eastAsia="Times New Roman" w:hAnsi="Tahoma"/>
                <w:szCs w:val="24"/>
                <w:lang w:eastAsia="en-US"/>
              </w:rPr>
            </w:pPr>
            <w:r>
              <w:rPr>
                <w:rFonts w:ascii="Tahoma" w:eastAsia="Times New Roman" w:hAnsi="Tahoma"/>
                <w:szCs w:val="24"/>
                <w:lang w:eastAsia="en-US"/>
              </w:rPr>
              <w:t>i</w:t>
            </w:r>
            <w:r w:rsidR="00940239" w:rsidRPr="00EB148F">
              <w:rPr>
                <w:rFonts w:ascii="Tahoma" w:eastAsia="Times New Roman" w:hAnsi="Tahoma"/>
                <w:szCs w:val="24"/>
                <w:lang w:eastAsia="en-US"/>
              </w:rPr>
              <w:t>t is possible to formulate appropriate and practical conditions that can be easily verified and monitored.</w:t>
            </w:r>
          </w:p>
        </w:tc>
      </w:tr>
    </w:tbl>
    <w:p w:rsidR="00DE06FE" w:rsidRDefault="00DE06FE" w:rsidP="00827D29">
      <w:pPr>
        <w:spacing w:before="160"/>
        <w:rPr>
          <w:rFonts w:eastAsia="Times New Roman"/>
          <w:color w:val="auto"/>
          <w:lang w:eastAsia="en-US"/>
        </w:rPr>
        <w:sectPr w:rsidR="00DE06FE" w:rsidSect="00DE06FE">
          <w:pgSz w:w="11906" w:h="16838"/>
          <w:pgMar w:top="1440" w:right="1440" w:bottom="1440" w:left="1440" w:header="708" w:footer="567" w:gutter="0"/>
          <w:cols w:space="708"/>
          <w:docGrid w:linePitch="360"/>
        </w:sectPr>
      </w:pPr>
    </w:p>
    <w:p w:rsidR="00940239" w:rsidRPr="00EB148F" w:rsidRDefault="00940239" w:rsidP="00827D29">
      <w:pPr>
        <w:spacing w:before="160"/>
        <w:rPr>
          <w:rFonts w:eastAsia="Times New Roman"/>
          <w:i/>
          <w:color w:val="auto"/>
          <w:lang w:eastAsia="en-US"/>
        </w:rPr>
      </w:pPr>
      <w:r w:rsidRPr="00EB148F">
        <w:rPr>
          <w:rFonts w:eastAsia="Times New Roman"/>
          <w:color w:val="auto"/>
          <w:lang w:eastAsia="en-US"/>
        </w:rPr>
        <w:t>The conditions may prevent the osteopath from practising in a certain way or on a particular category of patient</w:t>
      </w:r>
      <w:r w:rsidR="008442A8">
        <w:rPr>
          <w:rFonts w:eastAsia="Times New Roman"/>
          <w:color w:val="auto"/>
          <w:lang w:eastAsia="en-US"/>
        </w:rPr>
        <w:t>.</w:t>
      </w:r>
      <w:r w:rsidR="00DE7B67">
        <w:rPr>
          <w:rStyle w:val="FootnoteReference"/>
          <w:rFonts w:eastAsia="Times New Roman"/>
          <w:color w:val="auto"/>
          <w:lang w:eastAsia="en-US"/>
        </w:rPr>
        <w:footnoteReference w:id="11"/>
      </w:r>
      <w:r w:rsidRPr="00EB148F">
        <w:rPr>
          <w:rFonts w:eastAsia="Times New Roman"/>
          <w:color w:val="auto"/>
          <w:lang w:eastAsia="en-US"/>
        </w:rPr>
        <w:t xml:space="preserve"> The osteopath may be required to undergo additional training on specific areas of </w:t>
      </w:r>
      <w:r w:rsidR="004F7DE0">
        <w:rPr>
          <w:rFonts w:eastAsia="Times New Roman"/>
          <w:color w:val="auto"/>
          <w:lang w:eastAsia="en-US"/>
        </w:rPr>
        <w:t>their</w:t>
      </w:r>
      <w:r w:rsidR="004F7DE0" w:rsidRPr="00EB148F">
        <w:rPr>
          <w:rFonts w:eastAsia="Times New Roman"/>
          <w:color w:val="auto"/>
          <w:lang w:eastAsia="en-US"/>
        </w:rPr>
        <w:t xml:space="preserve"> </w:t>
      </w:r>
      <w:r w:rsidRPr="00EB148F">
        <w:rPr>
          <w:rFonts w:eastAsia="Times New Roman"/>
          <w:color w:val="auto"/>
          <w:lang w:eastAsia="en-US"/>
        </w:rPr>
        <w:t xml:space="preserve">practice and possibly be required to pass an independent and objective test of competence. When formulating conditions, the PCC should have regard to the </w:t>
      </w:r>
      <w:r w:rsidRPr="00EB148F">
        <w:rPr>
          <w:rFonts w:eastAsia="Times New Roman"/>
          <w:i/>
          <w:color w:val="auto"/>
          <w:lang w:eastAsia="en-US"/>
        </w:rPr>
        <w:t>Guidance for the Professional Conduct Committee on formulating Conditions of Practice Orders.</w:t>
      </w:r>
    </w:p>
    <w:p w:rsidR="00940239" w:rsidRPr="00EB148F" w:rsidRDefault="00940239" w:rsidP="00DE06FE">
      <w:pPr>
        <w:spacing w:after="120"/>
        <w:rPr>
          <w:rFonts w:eastAsia="Times New Roman"/>
          <w:color w:val="auto"/>
          <w:lang w:eastAsia="en-US"/>
        </w:rPr>
      </w:pPr>
      <w:r w:rsidRPr="00EB148F">
        <w:rPr>
          <w:rFonts w:eastAsia="Times New Roman"/>
          <w:color w:val="auto"/>
          <w:lang w:eastAsia="en-US"/>
        </w:rPr>
        <w:t>The objectives of the conditions should be made sufficiently clear for the osteopath. The PCC should identify each of the shortcomings in turn and explain how the conditions are intended to address them. The PCC should also explain any proposals</w:t>
      </w:r>
      <w:r w:rsidR="00102BFF">
        <w:rPr>
          <w:rFonts w:eastAsia="Times New Roman"/>
          <w:color w:val="auto"/>
          <w:lang w:eastAsia="en-US"/>
        </w:rPr>
        <w:t xml:space="preserve"> or information that would assist at a future review hearing</w:t>
      </w:r>
      <w:r w:rsidRPr="00EB148F">
        <w:rPr>
          <w:rFonts w:eastAsia="Times New Roman"/>
          <w:color w:val="auto"/>
          <w:lang w:eastAsia="en-US"/>
        </w:rPr>
        <w:t>. The conditions should be:</w:t>
      </w:r>
    </w:p>
    <w:p w:rsidR="00940239" w:rsidRDefault="00940239" w:rsidP="00DE06FE">
      <w:pPr>
        <w:numPr>
          <w:ilvl w:val="0"/>
          <w:numId w:val="25"/>
        </w:numPr>
        <w:tabs>
          <w:tab w:val="clear" w:pos="864"/>
          <w:tab w:val="num" w:pos="426"/>
        </w:tabs>
        <w:spacing w:after="120"/>
        <w:ind w:left="426" w:hanging="426"/>
        <w:rPr>
          <w:rFonts w:eastAsia="Times New Roman"/>
          <w:color w:val="auto"/>
          <w:lang w:eastAsia="en-US"/>
        </w:rPr>
      </w:pPr>
      <w:r w:rsidRPr="00EB148F">
        <w:rPr>
          <w:rFonts w:eastAsia="Times New Roman"/>
          <w:color w:val="auto"/>
          <w:lang w:eastAsia="en-US"/>
        </w:rPr>
        <w:t>necessary in order</w:t>
      </w:r>
      <w:r>
        <w:rPr>
          <w:rFonts w:eastAsia="Times New Roman"/>
          <w:color w:val="auto"/>
          <w:lang w:eastAsia="en-US"/>
        </w:rPr>
        <w:t xml:space="preserve"> to protect the public</w:t>
      </w:r>
    </w:p>
    <w:p w:rsidR="00940239" w:rsidRDefault="00940239" w:rsidP="00DE06FE">
      <w:pPr>
        <w:numPr>
          <w:ilvl w:val="0"/>
          <w:numId w:val="25"/>
        </w:numPr>
        <w:tabs>
          <w:tab w:val="clear" w:pos="864"/>
          <w:tab w:val="num" w:pos="426"/>
        </w:tabs>
        <w:spacing w:after="120"/>
        <w:ind w:left="426" w:hanging="426"/>
        <w:rPr>
          <w:rFonts w:eastAsia="Times New Roman"/>
          <w:color w:val="auto"/>
          <w:lang w:eastAsia="en-US"/>
        </w:rPr>
      </w:pPr>
      <w:r>
        <w:rPr>
          <w:rFonts w:eastAsia="Times New Roman"/>
          <w:color w:val="auto"/>
          <w:lang w:eastAsia="en-US"/>
        </w:rPr>
        <w:t>relevant to the shortcomings</w:t>
      </w:r>
    </w:p>
    <w:p w:rsidR="00940239" w:rsidRDefault="00940239" w:rsidP="00DE06FE">
      <w:pPr>
        <w:numPr>
          <w:ilvl w:val="0"/>
          <w:numId w:val="25"/>
        </w:numPr>
        <w:tabs>
          <w:tab w:val="clear" w:pos="864"/>
          <w:tab w:val="num" w:pos="426"/>
        </w:tabs>
        <w:spacing w:after="120"/>
        <w:ind w:left="426" w:hanging="426"/>
        <w:rPr>
          <w:rFonts w:eastAsia="Times New Roman"/>
          <w:color w:val="auto"/>
          <w:lang w:eastAsia="en-US"/>
        </w:rPr>
      </w:pPr>
      <w:r w:rsidRPr="00EB148F">
        <w:rPr>
          <w:rFonts w:eastAsia="Times New Roman"/>
          <w:color w:val="auto"/>
          <w:lang w:eastAsia="en-US"/>
        </w:rPr>
        <w:t>pr</w:t>
      </w:r>
      <w:r>
        <w:rPr>
          <w:rFonts w:eastAsia="Times New Roman"/>
          <w:color w:val="auto"/>
          <w:lang w:eastAsia="en-US"/>
        </w:rPr>
        <w:t>oportionate to the shortcomings</w:t>
      </w:r>
    </w:p>
    <w:p w:rsidR="00940239" w:rsidRDefault="00940239" w:rsidP="00DE06FE">
      <w:pPr>
        <w:numPr>
          <w:ilvl w:val="0"/>
          <w:numId w:val="25"/>
        </w:numPr>
        <w:tabs>
          <w:tab w:val="clear" w:pos="864"/>
          <w:tab w:val="num" w:pos="426"/>
        </w:tabs>
        <w:spacing w:after="120"/>
        <w:ind w:left="426" w:hanging="426"/>
        <w:rPr>
          <w:rFonts w:eastAsia="Times New Roman"/>
          <w:color w:val="auto"/>
          <w:lang w:eastAsia="en-US"/>
        </w:rPr>
      </w:pPr>
      <w:r>
        <w:rPr>
          <w:rFonts w:eastAsia="Times New Roman"/>
          <w:color w:val="auto"/>
          <w:lang w:eastAsia="en-US"/>
        </w:rPr>
        <w:t>workable</w:t>
      </w:r>
    </w:p>
    <w:p w:rsidR="00940239" w:rsidRDefault="00940239" w:rsidP="00DE06FE">
      <w:pPr>
        <w:numPr>
          <w:ilvl w:val="0"/>
          <w:numId w:val="25"/>
        </w:numPr>
        <w:tabs>
          <w:tab w:val="clear" w:pos="864"/>
          <w:tab w:val="num" w:pos="426"/>
        </w:tabs>
        <w:spacing w:after="120"/>
        <w:ind w:left="426" w:hanging="426"/>
        <w:rPr>
          <w:rFonts w:eastAsia="Times New Roman"/>
          <w:color w:val="auto"/>
          <w:lang w:eastAsia="en-US"/>
        </w:rPr>
      </w:pPr>
      <w:r>
        <w:rPr>
          <w:rFonts w:eastAsia="Times New Roman"/>
          <w:color w:val="auto"/>
          <w:lang w:eastAsia="en-US"/>
        </w:rPr>
        <w:t>measurable</w:t>
      </w:r>
    </w:p>
    <w:p w:rsidR="00940239" w:rsidRDefault="00940239" w:rsidP="00DE06FE">
      <w:pPr>
        <w:numPr>
          <w:ilvl w:val="0"/>
          <w:numId w:val="25"/>
        </w:numPr>
        <w:tabs>
          <w:tab w:val="clear" w:pos="864"/>
          <w:tab w:val="num" w:pos="426"/>
        </w:tabs>
        <w:spacing w:after="120"/>
        <w:ind w:left="426" w:hanging="426"/>
        <w:rPr>
          <w:rFonts w:eastAsia="Times New Roman"/>
          <w:color w:val="auto"/>
          <w:lang w:eastAsia="en-US"/>
        </w:rPr>
      </w:pPr>
      <w:r>
        <w:rPr>
          <w:rFonts w:eastAsia="Times New Roman"/>
          <w:color w:val="auto"/>
          <w:lang w:eastAsia="en-US"/>
        </w:rPr>
        <w:t>capable of being monitored</w:t>
      </w:r>
      <w:r w:rsidRPr="00780A25">
        <w:rPr>
          <w:rFonts w:eastAsia="Times New Roman"/>
          <w:color w:val="auto"/>
          <w:lang w:eastAsia="en-US"/>
        </w:rPr>
        <w:t xml:space="preserve"> and</w:t>
      </w:r>
    </w:p>
    <w:p w:rsidR="00940239" w:rsidRDefault="00940239" w:rsidP="003D276F">
      <w:pPr>
        <w:numPr>
          <w:ilvl w:val="0"/>
          <w:numId w:val="25"/>
        </w:numPr>
        <w:tabs>
          <w:tab w:val="clear" w:pos="864"/>
          <w:tab w:val="num" w:pos="426"/>
        </w:tabs>
        <w:ind w:left="426" w:hanging="426"/>
        <w:rPr>
          <w:rFonts w:eastAsia="Times New Roman"/>
          <w:color w:val="auto"/>
          <w:lang w:eastAsia="en-US"/>
        </w:rPr>
      </w:pPr>
      <w:r w:rsidRPr="00EB148F">
        <w:rPr>
          <w:rFonts w:eastAsia="Times New Roman"/>
          <w:color w:val="auto"/>
          <w:lang w:eastAsia="en-US"/>
        </w:rPr>
        <w:t>should be addressed to the osteopath and not a third party.</w:t>
      </w:r>
    </w:p>
    <w:p w:rsidR="00940239" w:rsidRDefault="00940239" w:rsidP="003D276F">
      <w:pPr>
        <w:rPr>
          <w:rFonts w:eastAsia="Times New Roman"/>
          <w:color w:val="auto"/>
          <w:lang w:eastAsia="en-US"/>
        </w:rPr>
      </w:pPr>
      <w:r w:rsidRPr="00EB148F">
        <w:rPr>
          <w:rFonts w:eastAsia="Times New Roman"/>
          <w:color w:val="auto"/>
          <w:lang w:eastAsia="en-US"/>
        </w:rPr>
        <w:t xml:space="preserve">The PCC must specify the period for which the Order is to have effect and/or specify that a test of competence must be taken by the registrant. Any set period should be the minimum that the PCC considers necessary for the protection of the public and it should not exceed three years.  </w:t>
      </w:r>
    </w:p>
    <w:p w:rsidR="00940239" w:rsidRPr="00EB148F" w:rsidRDefault="00940239" w:rsidP="003D276F">
      <w:pPr>
        <w:rPr>
          <w:rFonts w:eastAsia="Times New Roman"/>
          <w:color w:val="auto"/>
          <w:lang w:eastAsia="en-US"/>
        </w:rPr>
      </w:pPr>
      <w:r w:rsidRPr="00EB148F">
        <w:rPr>
          <w:rFonts w:eastAsia="Times New Roman"/>
          <w:color w:val="auto"/>
          <w:lang w:eastAsia="en-US"/>
        </w:rPr>
        <w:t>An Order will take effect in 28 days, beginning with the date on which notification of the decision is served on the osteopath, unless there is an appeal against the decision.</w:t>
      </w:r>
    </w:p>
    <w:p w:rsidR="00940239" w:rsidRDefault="00940239" w:rsidP="003D276F">
      <w:pPr>
        <w:spacing w:after="120"/>
        <w:rPr>
          <w:rFonts w:eastAsia="Times New Roman"/>
          <w:color w:val="auto"/>
          <w:lang w:eastAsia="en-US"/>
        </w:rPr>
      </w:pPr>
      <w:r w:rsidRPr="00EB148F">
        <w:rPr>
          <w:rFonts w:eastAsia="Times New Roman"/>
          <w:color w:val="auto"/>
          <w:lang w:eastAsia="en-US"/>
        </w:rPr>
        <w:t>At any time while an Order is in force, the PCC may:</w:t>
      </w:r>
    </w:p>
    <w:p w:rsidR="00940239" w:rsidRDefault="00940239" w:rsidP="003D276F">
      <w:pPr>
        <w:numPr>
          <w:ilvl w:val="0"/>
          <w:numId w:val="26"/>
        </w:numPr>
        <w:tabs>
          <w:tab w:val="clear" w:pos="864"/>
          <w:tab w:val="num" w:pos="426"/>
        </w:tabs>
        <w:spacing w:after="120"/>
        <w:ind w:left="426" w:hanging="426"/>
        <w:rPr>
          <w:rFonts w:eastAsia="Times New Roman"/>
          <w:color w:val="auto"/>
          <w:lang w:eastAsia="en-US"/>
        </w:rPr>
      </w:pPr>
      <w:r w:rsidRPr="00EB148F">
        <w:rPr>
          <w:rFonts w:eastAsia="Times New Roman"/>
          <w:color w:val="auto"/>
          <w:lang w:eastAsia="en-US"/>
        </w:rPr>
        <w:t>extend the period for which the Order has effect</w:t>
      </w:r>
    </w:p>
    <w:p w:rsidR="00940239" w:rsidRDefault="00940239" w:rsidP="003D276F">
      <w:pPr>
        <w:numPr>
          <w:ilvl w:val="0"/>
          <w:numId w:val="26"/>
        </w:numPr>
        <w:tabs>
          <w:tab w:val="clear" w:pos="864"/>
          <w:tab w:val="num" w:pos="426"/>
        </w:tabs>
        <w:spacing w:after="120"/>
        <w:ind w:left="426" w:hanging="426"/>
        <w:rPr>
          <w:rFonts w:eastAsia="Times New Roman"/>
          <w:color w:val="auto"/>
          <w:lang w:eastAsia="en-US"/>
        </w:rPr>
      </w:pPr>
      <w:r w:rsidRPr="00EB148F">
        <w:rPr>
          <w:rFonts w:eastAsia="Times New Roman"/>
          <w:color w:val="auto"/>
          <w:lang w:eastAsia="en-US"/>
        </w:rPr>
        <w:t>revok</w:t>
      </w:r>
      <w:r>
        <w:rPr>
          <w:rFonts w:eastAsia="Times New Roman"/>
          <w:color w:val="auto"/>
          <w:lang w:eastAsia="en-US"/>
        </w:rPr>
        <w:t>e or vary any of the conditions</w:t>
      </w:r>
    </w:p>
    <w:p w:rsidR="00940239" w:rsidRDefault="00940239" w:rsidP="003D276F">
      <w:pPr>
        <w:numPr>
          <w:ilvl w:val="0"/>
          <w:numId w:val="26"/>
        </w:numPr>
        <w:tabs>
          <w:tab w:val="clear" w:pos="864"/>
          <w:tab w:val="num" w:pos="426"/>
        </w:tabs>
        <w:spacing w:after="120"/>
        <w:ind w:left="426" w:hanging="426"/>
        <w:rPr>
          <w:rFonts w:eastAsia="Times New Roman"/>
          <w:color w:val="auto"/>
          <w:lang w:eastAsia="en-US"/>
        </w:rPr>
      </w:pPr>
      <w:r w:rsidRPr="00EB148F">
        <w:rPr>
          <w:rFonts w:eastAsia="Times New Roman"/>
          <w:color w:val="auto"/>
          <w:lang w:eastAsia="en-US"/>
        </w:rPr>
        <w:t>require the osteopa</w:t>
      </w:r>
      <w:r>
        <w:rPr>
          <w:rFonts w:eastAsia="Times New Roman"/>
          <w:color w:val="auto"/>
          <w:lang w:eastAsia="en-US"/>
        </w:rPr>
        <w:t>th to pass a test of competence</w:t>
      </w:r>
    </w:p>
    <w:p w:rsidR="00940239" w:rsidRDefault="00940239" w:rsidP="003D276F">
      <w:pPr>
        <w:numPr>
          <w:ilvl w:val="0"/>
          <w:numId w:val="26"/>
        </w:numPr>
        <w:tabs>
          <w:tab w:val="clear" w:pos="864"/>
          <w:tab w:val="num" w:pos="426"/>
        </w:tabs>
        <w:spacing w:after="120"/>
        <w:ind w:left="426" w:hanging="426"/>
        <w:rPr>
          <w:rFonts w:eastAsia="Times New Roman"/>
          <w:color w:val="auto"/>
          <w:lang w:eastAsia="en-US"/>
        </w:rPr>
      </w:pPr>
      <w:r w:rsidRPr="00EB148F">
        <w:rPr>
          <w:rFonts w:eastAsia="Times New Roman"/>
          <w:color w:val="auto"/>
          <w:lang w:eastAsia="en-US"/>
        </w:rPr>
        <w:t>reduce the period</w:t>
      </w:r>
      <w:r>
        <w:rPr>
          <w:rFonts w:eastAsia="Times New Roman"/>
          <w:color w:val="auto"/>
          <w:lang w:eastAsia="en-US"/>
        </w:rPr>
        <w:t xml:space="preserve"> for which the order has effect</w:t>
      </w:r>
    </w:p>
    <w:p w:rsidR="00940239" w:rsidRDefault="00940239" w:rsidP="003D276F">
      <w:pPr>
        <w:numPr>
          <w:ilvl w:val="0"/>
          <w:numId w:val="26"/>
        </w:numPr>
        <w:tabs>
          <w:tab w:val="clear" w:pos="864"/>
          <w:tab w:val="num" w:pos="426"/>
        </w:tabs>
        <w:ind w:left="426" w:hanging="426"/>
        <w:rPr>
          <w:rFonts w:eastAsia="Times New Roman"/>
          <w:color w:val="auto"/>
          <w:lang w:eastAsia="en-US"/>
        </w:rPr>
      </w:pPr>
      <w:r w:rsidRPr="00EB148F">
        <w:rPr>
          <w:rFonts w:eastAsia="Times New Roman"/>
          <w:color w:val="auto"/>
          <w:lang w:eastAsia="en-US"/>
        </w:rPr>
        <w:t>revoke the order.</w:t>
      </w:r>
    </w:p>
    <w:p w:rsidR="00381EA1" w:rsidRDefault="00381EA1" w:rsidP="00063C9C">
      <w:pPr>
        <w:spacing w:after="120"/>
        <w:rPr>
          <w:rFonts w:eastAsia="Times New Roman"/>
          <w:b/>
          <w:color w:val="auto"/>
          <w:lang w:eastAsia="en-US"/>
        </w:rPr>
        <w:sectPr w:rsidR="00381EA1" w:rsidSect="00950D90">
          <w:pgSz w:w="11906" w:h="16838"/>
          <w:pgMar w:top="1440" w:right="1440" w:bottom="993" w:left="1440" w:header="708" w:footer="567" w:gutter="0"/>
          <w:cols w:space="708"/>
          <w:docGrid w:linePitch="360"/>
        </w:sectPr>
      </w:pPr>
    </w:p>
    <w:p w:rsidR="00940239" w:rsidRPr="00950D90" w:rsidRDefault="00940239" w:rsidP="00063C9C">
      <w:pPr>
        <w:spacing w:after="120"/>
        <w:rPr>
          <w:rFonts w:eastAsia="Times New Roman"/>
          <w:b/>
          <w:color w:val="auto"/>
          <w:lang w:eastAsia="en-US"/>
        </w:rPr>
      </w:pPr>
      <w:r w:rsidRPr="00950D90">
        <w:rPr>
          <w:rFonts w:eastAsia="Times New Roman"/>
          <w:b/>
          <w:color w:val="auto"/>
          <w:lang w:eastAsia="en-US"/>
        </w:rPr>
        <w:t>Suspen</w:t>
      </w:r>
      <w:r w:rsidR="004F7DE0">
        <w:rPr>
          <w:rFonts w:eastAsia="Times New Roman"/>
          <w:b/>
          <w:color w:val="auto"/>
          <w:lang w:eastAsia="en-US"/>
        </w:rPr>
        <w:t>sion of</w:t>
      </w:r>
      <w:r w:rsidRPr="00950D90">
        <w:rPr>
          <w:rFonts w:eastAsia="Times New Roman"/>
          <w:b/>
          <w:color w:val="auto"/>
          <w:lang w:eastAsia="en-US"/>
        </w:rPr>
        <w:t xml:space="preserve"> the osteopath’s registration</w:t>
      </w:r>
    </w:p>
    <w:tbl>
      <w:tblPr>
        <w:tblStyle w:val="TableGrid2"/>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9134"/>
      </w:tblGrid>
      <w:tr w:rsidR="00940239" w:rsidRPr="00EB148F" w:rsidTr="00B20292">
        <w:tc>
          <w:tcPr>
            <w:tcW w:w="9134" w:type="dxa"/>
            <w:shd w:val="clear" w:color="auto" w:fill="FFFFFF" w:themeFill="background1"/>
          </w:tcPr>
          <w:p w:rsidR="00940239" w:rsidRPr="005D2D57" w:rsidRDefault="005D2D57" w:rsidP="005D2D57">
            <w:pPr>
              <w:numPr>
                <w:ilvl w:val="0"/>
                <w:numId w:val="27"/>
              </w:numPr>
              <w:tabs>
                <w:tab w:val="clear" w:pos="288"/>
                <w:tab w:val="num" w:pos="601"/>
                <w:tab w:val="num" w:pos="864"/>
              </w:tabs>
              <w:spacing w:before="120" w:after="120"/>
              <w:ind w:left="601" w:hanging="425"/>
              <w:rPr>
                <w:rFonts w:ascii="Tahoma" w:eastAsia="Times New Roman" w:hAnsi="Tahoma"/>
                <w:szCs w:val="24"/>
                <w:lang w:eastAsia="en-US"/>
              </w:rPr>
            </w:pPr>
            <w:r>
              <w:rPr>
                <w:rFonts w:ascii="Tahoma" w:eastAsia="Times New Roman" w:hAnsi="Tahoma"/>
                <w:lang w:eastAsia="en-US"/>
              </w:rPr>
              <w:t>a</w:t>
            </w:r>
            <w:r w:rsidR="00940239" w:rsidRPr="005D2D57">
              <w:rPr>
                <w:rFonts w:ascii="Tahoma" w:eastAsia="Times New Roman" w:hAnsi="Tahoma"/>
                <w:lang w:eastAsia="en-US"/>
              </w:rPr>
              <w:t xml:space="preserve"> Suspension Order will prevent the osteopath from practising as an osteopath for the duration of the Order. This sanction is appropriate for more serious offences and when </w:t>
            </w:r>
            <w:r w:rsidR="00940239" w:rsidRPr="005D2D57">
              <w:rPr>
                <w:rFonts w:ascii="Tahoma" w:eastAsia="Times New Roman" w:hAnsi="Tahoma"/>
                <w:b/>
                <w:lang w:eastAsia="en-US"/>
              </w:rPr>
              <w:t>some or all</w:t>
            </w:r>
            <w:r w:rsidR="00940239" w:rsidRPr="005D2D57">
              <w:rPr>
                <w:rFonts w:ascii="Tahoma" w:eastAsia="Times New Roman" w:hAnsi="Tahoma"/>
                <w:lang w:eastAsia="en-US"/>
              </w:rPr>
              <w:t xml:space="preserve"> of the following factors are apparent (this list is not exhaustive):</w:t>
            </w:r>
            <w:r w:rsidR="00063C9C" w:rsidRPr="005D2D57">
              <w:rPr>
                <w:rFonts w:ascii="Tahoma" w:eastAsia="Times New Roman" w:hAnsi="Tahoma"/>
                <w:szCs w:val="24"/>
                <w:lang w:eastAsia="en-US"/>
              </w:rPr>
              <w:t>t</w:t>
            </w:r>
            <w:r w:rsidR="00940239" w:rsidRPr="005D2D57">
              <w:rPr>
                <w:rFonts w:ascii="Tahoma" w:eastAsia="Times New Roman" w:hAnsi="Tahoma"/>
                <w:szCs w:val="24"/>
                <w:lang w:eastAsia="en-US"/>
              </w:rPr>
              <w:t xml:space="preserve">here has been a serious breach of the </w:t>
            </w:r>
            <w:r w:rsidR="00940239" w:rsidRPr="005D2D57">
              <w:rPr>
                <w:rFonts w:ascii="Tahoma" w:eastAsia="Times New Roman" w:hAnsi="Tahoma"/>
                <w:i/>
                <w:szCs w:val="24"/>
                <w:lang w:eastAsia="en-US"/>
              </w:rPr>
              <w:t>Osteopathic Practice Standards</w:t>
            </w:r>
            <w:r w:rsidR="00B05DE4" w:rsidRPr="005D2D57">
              <w:rPr>
                <w:rFonts w:ascii="Tahoma" w:eastAsia="Times New Roman" w:hAnsi="Tahoma"/>
                <w:szCs w:val="24"/>
                <w:lang w:eastAsia="en-US"/>
              </w:rPr>
              <w:t xml:space="preserve"> but the conduct is not fundamentally incompatible with continued registration</w:t>
            </w:r>
          </w:p>
          <w:p w:rsidR="00664D2A" w:rsidRPr="005D2D57" w:rsidRDefault="00063C9C" w:rsidP="005D2D57">
            <w:pPr>
              <w:numPr>
                <w:ilvl w:val="0"/>
                <w:numId w:val="27"/>
              </w:numPr>
              <w:tabs>
                <w:tab w:val="clear" w:pos="288"/>
                <w:tab w:val="num" w:pos="601"/>
                <w:tab w:val="num" w:pos="864"/>
              </w:tabs>
              <w:spacing w:before="120" w:after="120"/>
              <w:ind w:left="601" w:hanging="425"/>
              <w:rPr>
                <w:rFonts w:ascii="Tahoma" w:eastAsia="Times New Roman" w:hAnsi="Tahoma"/>
                <w:szCs w:val="24"/>
                <w:lang w:eastAsia="en-US"/>
              </w:rPr>
            </w:pPr>
            <w:r w:rsidRPr="005D2D57">
              <w:rPr>
                <w:rFonts w:ascii="Tahoma" w:eastAsia="Times New Roman" w:hAnsi="Tahoma"/>
                <w:szCs w:val="24"/>
                <w:lang w:eastAsia="en-US"/>
              </w:rPr>
              <w:t>r</w:t>
            </w:r>
            <w:r w:rsidR="00940239" w:rsidRPr="005D2D57">
              <w:rPr>
                <w:rFonts w:ascii="Tahoma" w:eastAsia="Times New Roman" w:hAnsi="Tahoma"/>
                <w:szCs w:val="24"/>
                <w:lang w:eastAsia="en-US"/>
              </w:rPr>
              <w:t>emoval of the osteopath from the Register would not be in the public interest, but any sanction lower than a suspension would not be sufficien</w:t>
            </w:r>
            <w:r w:rsidR="00B05DE4" w:rsidRPr="005D2D57">
              <w:rPr>
                <w:rFonts w:ascii="Tahoma" w:eastAsia="Times New Roman" w:hAnsi="Tahoma"/>
                <w:szCs w:val="24"/>
                <w:lang w:eastAsia="en-US"/>
              </w:rPr>
              <w:t>t to protect members of the public and maintain confidence in the profession</w:t>
            </w:r>
          </w:p>
          <w:p w:rsidR="00940239" w:rsidRPr="005D2D57" w:rsidRDefault="00063C9C" w:rsidP="005D2D57">
            <w:pPr>
              <w:numPr>
                <w:ilvl w:val="0"/>
                <w:numId w:val="27"/>
              </w:numPr>
              <w:tabs>
                <w:tab w:val="clear" w:pos="288"/>
                <w:tab w:val="num" w:pos="601"/>
                <w:tab w:val="num" w:pos="864"/>
              </w:tabs>
              <w:spacing w:before="120" w:after="120"/>
              <w:ind w:left="601" w:hanging="425"/>
              <w:rPr>
                <w:rFonts w:ascii="Tahoma" w:eastAsia="Times New Roman" w:hAnsi="Tahoma"/>
                <w:szCs w:val="24"/>
                <w:lang w:eastAsia="en-US"/>
              </w:rPr>
            </w:pPr>
            <w:r w:rsidRPr="005D2D57">
              <w:rPr>
                <w:rFonts w:ascii="Tahoma" w:eastAsia="Times New Roman" w:hAnsi="Tahoma"/>
                <w:szCs w:val="24"/>
                <w:lang w:eastAsia="en-US"/>
              </w:rPr>
              <w:t>s</w:t>
            </w:r>
            <w:r w:rsidR="00664D2A" w:rsidRPr="005D2D57">
              <w:rPr>
                <w:rFonts w:ascii="Tahoma" w:eastAsia="Times New Roman" w:hAnsi="Tahoma"/>
                <w:szCs w:val="24"/>
                <w:lang w:eastAsia="en-US"/>
              </w:rPr>
              <w:t xml:space="preserve">uspension can be used to send a message to the </w:t>
            </w:r>
            <w:r w:rsidR="00F15C8B" w:rsidRPr="005D2D57">
              <w:rPr>
                <w:rFonts w:ascii="Tahoma" w:eastAsia="Times New Roman" w:hAnsi="Tahoma"/>
                <w:szCs w:val="24"/>
                <w:lang w:eastAsia="en-US"/>
              </w:rPr>
              <w:t xml:space="preserve">registrant, the </w:t>
            </w:r>
            <w:r w:rsidR="00664D2A" w:rsidRPr="005D2D57">
              <w:rPr>
                <w:rFonts w:ascii="Tahoma" w:eastAsia="Times New Roman" w:hAnsi="Tahoma"/>
                <w:szCs w:val="24"/>
                <w:lang w:eastAsia="en-US"/>
              </w:rPr>
              <w:t xml:space="preserve">profession and the public </w:t>
            </w:r>
            <w:r w:rsidR="0055739A" w:rsidRPr="005D2D57">
              <w:rPr>
                <w:rFonts w:ascii="Tahoma" w:eastAsia="Times New Roman" w:hAnsi="Tahoma"/>
                <w:szCs w:val="24"/>
                <w:lang w:eastAsia="en-US"/>
              </w:rPr>
              <w:t xml:space="preserve">regarding </w:t>
            </w:r>
            <w:r w:rsidR="00664D2A" w:rsidRPr="005D2D57">
              <w:rPr>
                <w:rFonts w:ascii="Tahoma" w:eastAsia="Times New Roman" w:hAnsi="Tahoma"/>
                <w:szCs w:val="24"/>
                <w:lang w:eastAsia="en-US"/>
              </w:rPr>
              <w:t>the</w:t>
            </w:r>
            <w:r w:rsidR="00F15C8B" w:rsidRPr="005D2D57">
              <w:rPr>
                <w:rFonts w:ascii="Tahoma" w:eastAsia="Times New Roman" w:hAnsi="Tahoma"/>
                <w:szCs w:val="24"/>
                <w:lang w:eastAsia="en-US"/>
              </w:rPr>
              <w:t xml:space="preserve"> serious nature of the</w:t>
            </w:r>
            <w:r w:rsidR="00664D2A" w:rsidRPr="005D2D57">
              <w:rPr>
                <w:rFonts w:ascii="Tahoma" w:eastAsia="Times New Roman" w:hAnsi="Tahoma"/>
                <w:szCs w:val="24"/>
                <w:lang w:eastAsia="en-US"/>
              </w:rPr>
              <w:t xml:space="preserve"> osteopath’</w:t>
            </w:r>
            <w:r w:rsidR="00F15C8B" w:rsidRPr="005D2D57">
              <w:rPr>
                <w:rFonts w:ascii="Tahoma" w:eastAsia="Times New Roman" w:hAnsi="Tahoma"/>
                <w:szCs w:val="24"/>
                <w:lang w:eastAsia="en-US"/>
              </w:rPr>
              <w:t xml:space="preserve">s conduct </w:t>
            </w:r>
          </w:p>
          <w:p w:rsidR="00940239" w:rsidRPr="005D2D57" w:rsidRDefault="00063C9C" w:rsidP="005D2D57">
            <w:pPr>
              <w:numPr>
                <w:ilvl w:val="0"/>
                <w:numId w:val="27"/>
              </w:numPr>
              <w:tabs>
                <w:tab w:val="clear" w:pos="288"/>
                <w:tab w:val="num" w:pos="601"/>
                <w:tab w:val="num" w:pos="864"/>
              </w:tabs>
              <w:spacing w:before="120" w:after="120"/>
              <w:ind w:left="601" w:hanging="425"/>
              <w:rPr>
                <w:rFonts w:ascii="Tahoma" w:eastAsia="Times New Roman" w:hAnsi="Tahoma"/>
                <w:szCs w:val="24"/>
                <w:lang w:eastAsia="en-US"/>
              </w:rPr>
            </w:pPr>
            <w:r w:rsidRPr="005D2D57">
              <w:rPr>
                <w:rFonts w:ascii="Tahoma" w:eastAsia="Times New Roman" w:hAnsi="Tahoma"/>
                <w:szCs w:val="24"/>
                <w:lang w:eastAsia="en-US"/>
              </w:rPr>
              <w:t>t</w:t>
            </w:r>
            <w:r w:rsidR="00940239" w:rsidRPr="005D2D57">
              <w:rPr>
                <w:rFonts w:ascii="Tahoma" w:eastAsia="Times New Roman" w:hAnsi="Tahoma"/>
                <w:szCs w:val="24"/>
                <w:lang w:eastAsia="en-US"/>
              </w:rPr>
              <w:t>here is a risk to patient safety if the osteopath’s registration were not suspended</w:t>
            </w:r>
          </w:p>
          <w:p w:rsidR="00940239" w:rsidRPr="005D2D57" w:rsidRDefault="00063C9C" w:rsidP="005D2D57">
            <w:pPr>
              <w:numPr>
                <w:ilvl w:val="0"/>
                <w:numId w:val="27"/>
              </w:numPr>
              <w:tabs>
                <w:tab w:val="clear" w:pos="288"/>
                <w:tab w:val="num" w:pos="601"/>
                <w:tab w:val="num" w:pos="864"/>
              </w:tabs>
              <w:spacing w:before="120" w:after="120"/>
              <w:ind w:left="601" w:hanging="425"/>
              <w:rPr>
                <w:rFonts w:ascii="Tahoma" w:eastAsia="Times New Roman" w:hAnsi="Tahoma"/>
                <w:szCs w:val="24"/>
                <w:lang w:eastAsia="en-US"/>
              </w:rPr>
            </w:pPr>
            <w:r w:rsidRPr="005D2D57">
              <w:rPr>
                <w:rFonts w:ascii="Tahoma" w:eastAsia="Times New Roman" w:hAnsi="Tahoma"/>
                <w:szCs w:val="24"/>
                <w:lang w:eastAsia="en-US"/>
              </w:rPr>
              <w:t>t</w:t>
            </w:r>
            <w:r w:rsidR="00940239" w:rsidRPr="005D2D57">
              <w:rPr>
                <w:rFonts w:ascii="Tahoma" w:eastAsia="Times New Roman" w:hAnsi="Tahoma"/>
                <w:szCs w:val="24"/>
                <w:lang w:eastAsia="en-US"/>
              </w:rPr>
              <w:t>he osteopath has demonstrated the potential for remediation or retraining</w:t>
            </w:r>
          </w:p>
          <w:p w:rsidR="00940239" w:rsidRPr="00EB148F" w:rsidRDefault="00063C9C" w:rsidP="005D2D57">
            <w:pPr>
              <w:numPr>
                <w:ilvl w:val="0"/>
                <w:numId w:val="27"/>
              </w:numPr>
              <w:tabs>
                <w:tab w:val="clear" w:pos="288"/>
                <w:tab w:val="num" w:pos="601"/>
                <w:tab w:val="num" w:pos="864"/>
              </w:tabs>
              <w:spacing w:before="120" w:after="120"/>
              <w:ind w:left="601" w:hanging="425"/>
              <w:rPr>
                <w:rFonts w:ascii="Tahoma" w:eastAsia="Times New Roman" w:hAnsi="Tahoma"/>
                <w:szCs w:val="24"/>
                <w:lang w:eastAsia="en-US"/>
              </w:rPr>
            </w:pPr>
            <w:r w:rsidRPr="005D2D57">
              <w:rPr>
                <w:rFonts w:ascii="Tahoma" w:eastAsia="Times New Roman" w:hAnsi="Tahoma"/>
                <w:szCs w:val="24"/>
                <w:lang w:eastAsia="en-US"/>
              </w:rPr>
              <w:t>t</w:t>
            </w:r>
            <w:r w:rsidR="00940239" w:rsidRPr="005D2D57">
              <w:rPr>
                <w:rFonts w:ascii="Tahoma" w:eastAsia="Times New Roman" w:hAnsi="Tahoma"/>
                <w:szCs w:val="24"/>
                <w:lang w:eastAsia="en-US"/>
              </w:rPr>
              <w:t>he osteopath has shown insufficient insight to merit the imposition of conditions or conditions would be unworkable.</w:t>
            </w:r>
          </w:p>
        </w:tc>
      </w:tr>
    </w:tbl>
    <w:p w:rsidR="00940239" w:rsidRDefault="00940239" w:rsidP="00063C9C">
      <w:pPr>
        <w:spacing w:before="240" w:after="120"/>
        <w:rPr>
          <w:rFonts w:eastAsia="Times New Roman"/>
          <w:color w:val="auto"/>
          <w:lang w:eastAsia="en-US"/>
        </w:rPr>
      </w:pPr>
      <w:r w:rsidRPr="00EB148F">
        <w:rPr>
          <w:rFonts w:eastAsia="Times New Roman"/>
          <w:color w:val="auto"/>
          <w:lang w:eastAsia="en-US"/>
        </w:rPr>
        <w:t>The PCC should specify the duration of the Order, which cannot exceed three years.</w:t>
      </w:r>
      <w:r w:rsidR="000F2BD4">
        <w:rPr>
          <w:rFonts w:eastAsia="Times New Roman"/>
          <w:color w:val="auto"/>
          <w:lang w:eastAsia="en-US"/>
        </w:rPr>
        <w:t xml:space="preserve"> </w:t>
      </w:r>
      <w:r w:rsidR="00E7084E">
        <w:rPr>
          <w:rFonts w:eastAsia="Times New Roman"/>
          <w:color w:val="auto"/>
          <w:lang w:eastAsia="en-US"/>
        </w:rPr>
        <w:t>The PCC must provide reasons for the length of the Suspension Order</w:t>
      </w:r>
      <w:r w:rsidR="009144C9">
        <w:rPr>
          <w:rFonts w:eastAsia="Times New Roman"/>
          <w:color w:val="auto"/>
          <w:lang w:eastAsia="en-US"/>
        </w:rPr>
        <w:t xml:space="preserve"> it decides to impose</w:t>
      </w:r>
      <w:r w:rsidR="00E7084E">
        <w:rPr>
          <w:rFonts w:eastAsia="Times New Roman"/>
          <w:color w:val="auto"/>
          <w:lang w:eastAsia="en-US"/>
        </w:rPr>
        <w:t>, including the factors that it considered in determining the length.</w:t>
      </w:r>
      <w:r w:rsidR="00E7084E">
        <w:rPr>
          <w:rStyle w:val="FootnoteReference"/>
          <w:rFonts w:eastAsia="Times New Roman"/>
          <w:color w:val="auto"/>
          <w:lang w:eastAsia="en-US"/>
        </w:rPr>
        <w:footnoteReference w:id="12"/>
      </w:r>
      <w:r w:rsidR="00E7084E">
        <w:rPr>
          <w:rFonts w:eastAsia="Times New Roman"/>
          <w:color w:val="auto"/>
          <w:lang w:eastAsia="en-US"/>
        </w:rPr>
        <w:t xml:space="preserve"> </w:t>
      </w:r>
      <w:r w:rsidR="000F2BD4">
        <w:rPr>
          <w:rFonts w:eastAsia="Times New Roman"/>
          <w:color w:val="auto"/>
          <w:lang w:eastAsia="en-US"/>
        </w:rPr>
        <w:t>The PCC may wish to consider the following factors when determining the length of the suspension:</w:t>
      </w:r>
    </w:p>
    <w:p w:rsidR="000F2BD4" w:rsidRDefault="00063C9C" w:rsidP="003A3395">
      <w:pPr>
        <w:pStyle w:val="ListParagraph"/>
        <w:numPr>
          <w:ilvl w:val="0"/>
          <w:numId w:val="35"/>
        </w:numPr>
        <w:spacing w:before="120" w:after="120"/>
        <w:contextualSpacing w:val="0"/>
        <w:rPr>
          <w:rFonts w:eastAsia="Times New Roman"/>
          <w:color w:val="auto"/>
          <w:lang w:eastAsia="en-US"/>
        </w:rPr>
      </w:pPr>
      <w:r>
        <w:rPr>
          <w:rFonts w:eastAsia="Times New Roman"/>
          <w:color w:val="auto"/>
          <w:lang w:eastAsia="en-US"/>
        </w:rPr>
        <w:t>t</w:t>
      </w:r>
      <w:r w:rsidR="000F2BD4">
        <w:rPr>
          <w:rFonts w:eastAsia="Times New Roman"/>
          <w:color w:val="auto"/>
          <w:lang w:eastAsia="en-US"/>
        </w:rPr>
        <w:t>he seriousness of the findings together with the mitigating/aggravating factors</w:t>
      </w:r>
    </w:p>
    <w:p w:rsidR="00063C9C" w:rsidRDefault="00063C9C" w:rsidP="003A3395">
      <w:pPr>
        <w:pStyle w:val="ListParagraph"/>
        <w:numPr>
          <w:ilvl w:val="0"/>
          <w:numId w:val="35"/>
        </w:numPr>
        <w:spacing w:before="120" w:after="120"/>
        <w:contextualSpacing w:val="0"/>
        <w:rPr>
          <w:rFonts w:eastAsia="Times New Roman"/>
          <w:color w:val="auto"/>
          <w:lang w:eastAsia="en-US"/>
        </w:rPr>
      </w:pPr>
      <w:r>
        <w:rPr>
          <w:rFonts w:eastAsia="Times New Roman"/>
          <w:color w:val="auto"/>
          <w:lang w:eastAsia="en-US"/>
        </w:rPr>
        <w:t>s</w:t>
      </w:r>
      <w:r w:rsidR="000F2BD4" w:rsidRPr="009754CA">
        <w:rPr>
          <w:rFonts w:eastAsia="Times New Roman"/>
          <w:color w:val="auto"/>
          <w:lang w:eastAsia="en-US"/>
        </w:rPr>
        <w:t>ufficient time is provided for the osteopath to develop insight and/or remediate their conduct</w:t>
      </w:r>
    </w:p>
    <w:p w:rsidR="000F2BD4" w:rsidRPr="000F2BD4" w:rsidRDefault="00063C9C" w:rsidP="003A3395">
      <w:pPr>
        <w:pStyle w:val="ListParagraph"/>
        <w:numPr>
          <w:ilvl w:val="0"/>
          <w:numId w:val="35"/>
        </w:numPr>
        <w:spacing w:before="120"/>
        <w:contextualSpacing w:val="0"/>
        <w:rPr>
          <w:rFonts w:eastAsia="Times New Roman"/>
          <w:color w:val="auto"/>
          <w:lang w:eastAsia="en-US"/>
        </w:rPr>
      </w:pPr>
      <w:r>
        <w:rPr>
          <w:rFonts w:eastAsia="Times New Roman"/>
          <w:color w:val="auto"/>
          <w:lang w:eastAsia="en-US"/>
        </w:rPr>
        <w:t>t</w:t>
      </w:r>
      <w:r w:rsidR="000F2BD4">
        <w:rPr>
          <w:rFonts w:eastAsia="Times New Roman"/>
          <w:color w:val="auto"/>
          <w:lang w:eastAsia="en-US"/>
        </w:rPr>
        <w:t>he extent to which the osteopath’s behaviour put patients at risk/brought the reputation of the profession into disrepute</w:t>
      </w:r>
      <w:r>
        <w:rPr>
          <w:rFonts w:eastAsia="Times New Roman"/>
          <w:color w:val="auto"/>
          <w:lang w:eastAsia="en-US"/>
        </w:rPr>
        <w:t>.</w:t>
      </w:r>
    </w:p>
    <w:p w:rsidR="00940239" w:rsidRDefault="00940239" w:rsidP="00063C9C">
      <w:pPr>
        <w:spacing w:before="120" w:after="120"/>
        <w:rPr>
          <w:rFonts w:eastAsia="Times New Roman"/>
          <w:color w:val="auto"/>
          <w:lang w:eastAsia="en-US"/>
        </w:rPr>
      </w:pPr>
      <w:r w:rsidRPr="00EB148F">
        <w:rPr>
          <w:rFonts w:eastAsia="Times New Roman"/>
          <w:color w:val="auto"/>
          <w:lang w:eastAsia="en-US"/>
        </w:rPr>
        <w:t>At any time while a Suspension Order is in force, the PCC may:</w:t>
      </w:r>
    </w:p>
    <w:p w:rsidR="00940239" w:rsidRDefault="00940239" w:rsidP="00063C9C">
      <w:pPr>
        <w:numPr>
          <w:ilvl w:val="0"/>
          <w:numId w:val="28"/>
        </w:numPr>
        <w:tabs>
          <w:tab w:val="clear" w:pos="288"/>
          <w:tab w:val="num" w:pos="426"/>
        </w:tabs>
        <w:spacing w:before="120" w:after="120"/>
        <w:ind w:left="426" w:hanging="426"/>
        <w:rPr>
          <w:rFonts w:eastAsia="Times New Roman"/>
          <w:color w:val="auto"/>
          <w:lang w:eastAsia="en-US"/>
        </w:rPr>
      </w:pPr>
      <w:r w:rsidRPr="00EB148F">
        <w:rPr>
          <w:rFonts w:eastAsia="Times New Roman"/>
          <w:color w:val="auto"/>
          <w:lang w:eastAsia="en-US"/>
        </w:rPr>
        <w:t>extend, or further ex</w:t>
      </w:r>
      <w:r>
        <w:rPr>
          <w:rFonts w:eastAsia="Times New Roman"/>
          <w:color w:val="auto"/>
          <w:lang w:eastAsia="en-US"/>
        </w:rPr>
        <w:t xml:space="preserve">tend, the period of suspension </w:t>
      </w:r>
      <w:r w:rsidRPr="008B2522">
        <w:rPr>
          <w:rFonts w:eastAsia="Times New Roman"/>
          <w:color w:val="auto"/>
          <w:lang w:eastAsia="en-US"/>
        </w:rPr>
        <w:t>or</w:t>
      </w:r>
    </w:p>
    <w:p w:rsidR="00513995" w:rsidRDefault="00940239" w:rsidP="00827D29">
      <w:pPr>
        <w:numPr>
          <w:ilvl w:val="0"/>
          <w:numId w:val="28"/>
        </w:numPr>
        <w:tabs>
          <w:tab w:val="clear" w:pos="288"/>
          <w:tab w:val="num" w:pos="426"/>
        </w:tabs>
        <w:spacing w:before="120"/>
        <w:ind w:left="425" w:hanging="425"/>
        <w:rPr>
          <w:rFonts w:eastAsia="Times New Roman"/>
          <w:color w:val="auto"/>
          <w:lang w:eastAsia="en-US"/>
        </w:rPr>
      </w:pPr>
      <w:r w:rsidRPr="00EB148F">
        <w:rPr>
          <w:rFonts w:eastAsia="Times New Roman"/>
          <w:color w:val="auto"/>
          <w:lang w:eastAsia="en-US"/>
        </w:rPr>
        <w:t>make a Conditions of Practice Order with which the osteopath must comply if they resume the practice of osteopathy after the end of their period of suspension.</w:t>
      </w:r>
      <w:r w:rsidR="007413E5">
        <w:rPr>
          <w:rFonts w:eastAsia="Times New Roman"/>
          <w:color w:val="auto"/>
          <w:lang w:eastAsia="en-US"/>
        </w:rPr>
        <w:t xml:space="preserve"> </w:t>
      </w:r>
    </w:p>
    <w:p w:rsidR="00B05DE4" w:rsidRPr="007413E5" w:rsidRDefault="00940239" w:rsidP="00063C9C">
      <w:pPr>
        <w:spacing w:before="240"/>
        <w:rPr>
          <w:rFonts w:eastAsia="Times New Roman"/>
          <w:color w:val="auto"/>
          <w:lang w:eastAsia="en-US"/>
        </w:rPr>
      </w:pPr>
      <w:r w:rsidRPr="007413E5">
        <w:rPr>
          <w:rFonts w:eastAsia="Times New Roman"/>
          <w:color w:val="auto"/>
          <w:lang w:eastAsia="en-US"/>
        </w:rPr>
        <w:t>A Suspension Order will take effect in 28 days, beginning with the</w:t>
      </w:r>
      <w:r w:rsidR="00513995">
        <w:rPr>
          <w:rFonts w:eastAsia="Times New Roman"/>
          <w:color w:val="auto"/>
          <w:lang w:eastAsia="en-US"/>
        </w:rPr>
        <w:t xml:space="preserve"> </w:t>
      </w:r>
      <w:r w:rsidRPr="007413E5">
        <w:rPr>
          <w:rFonts w:eastAsia="Times New Roman"/>
          <w:color w:val="auto"/>
          <w:lang w:eastAsia="en-US"/>
        </w:rPr>
        <w:t xml:space="preserve">date on which notification of the decision is served on the osteopath, unless there is an appeal. </w:t>
      </w:r>
    </w:p>
    <w:p w:rsidR="00940239" w:rsidRDefault="00B05DE4" w:rsidP="00063C9C">
      <w:pPr>
        <w:spacing w:before="240"/>
        <w:rPr>
          <w:rFonts w:eastAsia="Times New Roman"/>
          <w:color w:val="auto"/>
          <w:lang w:eastAsia="en-US"/>
        </w:rPr>
      </w:pPr>
      <w:r>
        <w:rPr>
          <w:rFonts w:eastAsia="Times New Roman"/>
          <w:color w:val="auto"/>
          <w:lang w:eastAsia="en-US"/>
        </w:rPr>
        <w:t>The PCC should therefore</w:t>
      </w:r>
      <w:r w:rsidR="00940239" w:rsidRPr="00EB148F">
        <w:rPr>
          <w:rFonts w:eastAsia="Times New Roman"/>
          <w:color w:val="auto"/>
          <w:lang w:eastAsia="en-US"/>
        </w:rPr>
        <w:t xml:space="preserve"> consider whether, </w:t>
      </w:r>
      <w:r>
        <w:rPr>
          <w:rFonts w:eastAsia="Times New Roman"/>
          <w:color w:val="auto"/>
          <w:lang w:eastAsia="en-US"/>
        </w:rPr>
        <w:t>in order to protect</w:t>
      </w:r>
      <w:r w:rsidR="00940239" w:rsidRPr="00EB148F">
        <w:rPr>
          <w:rFonts w:eastAsia="Times New Roman"/>
          <w:color w:val="auto"/>
          <w:lang w:eastAsia="en-US"/>
        </w:rPr>
        <w:t xml:space="preserve"> members of the public, it is also necessary to impose an interim suspension order. </w:t>
      </w:r>
    </w:p>
    <w:p w:rsidR="00381EA1" w:rsidRDefault="00381EA1" w:rsidP="00063C9C">
      <w:pPr>
        <w:spacing w:after="120"/>
        <w:rPr>
          <w:rFonts w:eastAsia="Times New Roman"/>
          <w:b/>
          <w:color w:val="auto"/>
          <w:lang w:eastAsia="en-US"/>
        </w:rPr>
        <w:sectPr w:rsidR="00381EA1" w:rsidSect="00DE06FE">
          <w:pgSz w:w="11906" w:h="16838"/>
          <w:pgMar w:top="1440" w:right="1440" w:bottom="1440" w:left="1440" w:header="708" w:footer="567" w:gutter="0"/>
          <w:cols w:space="708"/>
          <w:docGrid w:linePitch="360"/>
        </w:sectPr>
      </w:pPr>
    </w:p>
    <w:p w:rsidR="00940239" w:rsidRPr="00950D90" w:rsidRDefault="00940239" w:rsidP="00063C9C">
      <w:pPr>
        <w:spacing w:after="120"/>
        <w:rPr>
          <w:rFonts w:eastAsia="Times New Roman"/>
          <w:b/>
          <w:color w:val="auto"/>
          <w:lang w:eastAsia="en-US"/>
        </w:rPr>
      </w:pPr>
      <w:r w:rsidRPr="00950D90">
        <w:rPr>
          <w:rFonts w:eastAsia="Times New Roman"/>
          <w:b/>
          <w:color w:val="auto"/>
          <w:lang w:eastAsia="en-US"/>
        </w:rPr>
        <w:t>Removing the osteopath’s name from the Register</w:t>
      </w:r>
    </w:p>
    <w:p w:rsidR="00940239" w:rsidRDefault="00940239" w:rsidP="00063C9C">
      <w:pPr>
        <w:rPr>
          <w:rFonts w:eastAsia="Times New Roman"/>
          <w:color w:val="auto"/>
          <w:lang w:eastAsia="en-US"/>
        </w:rPr>
      </w:pPr>
      <w:r w:rsidRPr="00EB148F">
        <w:rPr>
          <w:rFonts w:eastAsia="Times New Roman"/>
          <w:color w:val="auto"/>
          <w:lang w:eastAsia="en-US"/>
        </w:rPr>
        <w:t xml:space="preserve">A Removal is the most severe sanction that can be applied and should be used where there is no other means of protecting the public and/or maintaining confidence in the osteopathic profession. This sanction is likely to be appropriate when the behaviour is fundamentally incompatible with registration with the GOsC as an osteopath and involves </w:t>
      </w:r>
      <w:r w:rsidRPr="008442A8">
        <w:rPr>
          <w:rFonts w:eastAsia="Times New Roman"/>
          <w:b/>
          <w:color w:val="auto"/>
          <w:lang w:eastAsia="en-US"/>
        </w:rPr>
        <w:t>any</w:t>
      </w:r>
      <w:r w:rsidRPr="00EB148F">
        <w:rPr>
          <w:rFonts w:eastAsia="Times New Roman"/>
          <w:color w:val="auto"/>
          <w:lang w:eastAsia="en-US"/>
        </w:rPr>
        <w:t xml:space="preserve"> of the following (this list is not exhaustive):</w:t>
      </w:r>
    </w:p>
    <w:tbl>
      <w:tblPr>
        <w:tblStyle w:val="TableGrid2"/>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9134"/>
      </w:tblGrid>
      <w:tr w:rsidR="00940239" w:rsidRPr="00EB148F" w:rsidTr="00B20292">
        <w:tc>
          <w:tcPr>
            <w:tcW w:w="9134" w:type="dxa"/>
            <w:shd w:val="clear" w:color="auto" w:fill="FFFFFF" w:themeFill="background1"/>
          </w:tcPr>
          <w:p w:rsidR="00940239" w:rsidRDefault="00063C9C" w:rsidP="005D2D57">
            <w:pPr>
              <w:numPr>
                <w:ilvl w:val="0"/>
                <w:numId w:val="29"/>
              </w:numPr>
              <w:tabs>
                <w:tab w:val="clear" w:pos="864"/>
                <w:tab w:val="num" w:pos="601"/>
              </w:tabs>
              <w:spacing w:before="120" w:after="120"/>
              <w:ind w:left="601" w:hanging="425"/>
              <w:rPr>
                <w:rFonts w:ascii="Tahoma" w:eastAsia="Times New Roman" w:hAnsi="Tahoma"/>
                <w:szCs w:val="24"/>
                <w:lang w:eastAsia="en-US"/>
              </w:rPr>
            </w:pPr>
            <w:r>
              <w:rPr>
                <w:rFonts w:ascii="Tahoma" w:eastAsia="Times New Roman" w:hAnsi="Tahoma"/>
                <w:szCs w:val="24"/>
                <w:lang w:eastAsia="en-US"/>
              </w:rPr>
              <w:t>a</w:t>
            </w:r>
            <w:r w:rsidR="00940239" w:rsidRPr="00EB148F">
              <w:rPr>
                <w:rFonts w:ascii="Tahoma" w:eastAsia="Times New Roman" w:hAnsi="Tahoma"/>
                <w:szCs w:val="24"/>
                <w:lang w:eastAsia="en-US"/>
              </w:rPr>
              <w:t xml:space="preserve"> reckless</w:t>
            </w:r>
            <w:r w:rsidR="00411FCA">
              <w:rPr>
                <w:rFonts w:ascii="Tahoma" w:eastAsia="Times New Roman" w:hAnsi="Tahoma"/>
                <w:szCs w:val="24"/>
                <w:lang w:eastAsia="en-US"/>
              </w:rPr>
              <w:t xml:space="preserve"> or intentional</w:t>
            </w:r>
            <w:r w:rsidR="00940239" w:rsidRPr="00EB148F">
              <w:rPr>
                <w:rFonts w:ascii="Tahoma" w:eastAsia="Times New Roman" w:hAnsi="Tahoma"/>
                <w:szCs w:val="24"/>
                <w:lang w:eastAsia="en-US"/>
              </w:rPr>
              <w:t xml:space="preserve"> disregard for the principles set out in the </w:t>
            </w:r>
            <w:r w:rsidR="00940239" w:rsidRPr="008B2522">
              <w:rPr>
                <w:rFonts w:ascii="Tahoma" w:eastAsia="Times New Roman" w:hAnsi="Tahoma"/>
                <w:i/>
                <w:szCs w:val="24"/>
                <w:lang w:eastAsia="en-US"/>
              </w:rPr>
              <w:t>Osteopathic Practice Standards</w:t>
            </w:r>
            <w:r w:rsidR="00940239" w:rsidRPr="00EB148F">
              <w:rPr>
                <w:rFonts w:ascii="Tahoma" w:eastAsia="Times New Roman" w:hAnsi="Tahoma"/>
                <w:szCs w:val="24"/>
                <w:lang w:eastAsia="en-US"/>
              </w:rPr>
              <w:t xml:space="preserve"> and for patient safety</w:t>
            </w:r>
          </w:p>
          <w:p w:rsidR="00940239" w:rsidRDefault="00063C9C" w:rsidP="005D2D57">
            <w:pPr>
              <w:numPr>
                <w:ilvl w:val="0"/>
                <w:numId w:val="29"/>
              </w:numPr>
              <w:tabs>
                <w:tab w:val="clear" w:pos="864"/>
                <w:tab w:val="num" w:pos="601"/>
              </w:tabs>
              <w:spacing w:before="120" w:after="120"/>
              <w:ind w:left="601" w:hanging="425"/>
              <w:rPr>
                <w:rFonts w:ascii="Tahoma" w:eastAsia="Times New Roman" w:hAnsi="Tahoma"/>
                <w:szCs w:val="24"/>
                <w:lang w:eastAsia="en-US"/>
              </w:rPr>
            </w:pPr>
            <w:r>
              <w:rPr>
                <w:rFonts w:ascii="Tahoma" w:eastAsia="Times New Roman" w:hAnsi="Tahoma"/>
                <w:szCs w:val="24"/>
                <w:lang w:eastAsia="en-US"/>
              </w:rPr>
              <w:t>a</w:t>
            </w:r>
            <w:r w:rsidRPr="00EB148F">
              <w:rPr>
                <w:rFonts w:ascii="Tahoma" w:eastAsia="Times New Roman" w:hAnsi="Tahoma"/>
                <w:szCs w:val="24"/>
                <w:lang w:eastAsia="en-US"/>
              </w:rPr>
              <w:t xml:space="preserve"> </w:t>
            </w:r>
            <w:r w:rsidR="00940239" w:rsidRPr="00EB148F">
              <w:rPr>
                <w:rFonts w:ascii="Tahoma" w:eastAsia="Times New Roman" w:hAnsi="Tahoma"/>
                <w:szCs w:val="24"/>
                <w:lang w:eastAsia="en-US"/>
              </w:rPr>
              <w:t xml:space="preserve">serious departure from the relevant professional standards outlined in the </w:t>
            </w:r>
            <w:r w:rsidR="00940239" w:rsidRPr="008B2522">
              <w:rPr>
                <w:rFonts w:ascii="Tahoma" w:eastAsia="Times New Roman" w:hAnsi="Tahoma"/>
                <w:i/>
                <w:szCs w:val="24"/>
                <w:lang w:eastAsia="en-US"/>
              </w:rPr>
              <w:t>Osteopathic Practice Standards</w:t>
            </w:r>
            <w:r w:rsidR="00A32E3D">
              <w:rPr>
                <w:rFonts w:ascii="Tahoma" w:eastAsia="Times New Roman" w:hAnsi="Tahoma"/>
                <w:i/>
                <w:szCs w:val="24"/>
                <w:lang w:eastAsia="en-US"/>
              </w:rPr>
              <w:t xml:space="preserve"> </w:t>
            </w:r>
            <w:r w:rsidR="00A32E3D" w:rsidRPr="00A32E3D">
              <w:rPr>
                <w:rFonts w:ascii="Tahoma" w:eastAsia="Times New Roman" w:hAnsi="Tahoma"/>
                <w:szCs w:val="24"/>
                <w:lang w:eastAsia="en-US"/>
              </w:rPr>
              <w:t>which</w:t>
            </w:r>
            <w:r w:rsidR="00A32E3D">
              <w:rPr>
                <w:rFonts w:ascii="Tahoma" w:eastAsia="Times New Roman" w:hAnsi="Tahoma"/>
                <w:szCs w:val="24"/>
                <w:lang w:eastAsia="en-US"/>
              </w:rPr>
              <w:t xml:space="preserve"> is incompatible with continued registration</w:t>
            </w:r>
          </w:p>
          <w:p w:rsidR="00940239" w:rsidRDefault="00063C9C" w:rsidP="005D2D57">
            <w:pPr>
              <w:numPr>
                <w:ilvl w:val="0"/>
                <w:numId w:val="29"/>
              </w:numPr>
              <w:tabs>
                <w:tab w:val="clear" w:pos="864"/>
                <w:tab w:val="num" w:pos="601"/>
              </w:tabs>
              <w:spacing w:before="120" w:after="120"/>
              <w:ind w:left="601" w:hanging="425"/>
              <w:rPr>
                <w:rFonts w:ascii="Tahoma" w:eastAsia="Times New Roman" w:hAnsi="Tahoma"/>
                <w:szCs w:val="24"/>
                <w:lang w:eastAsia="en-US"/>
              </w:rPr>
            </w:pPr>
            <w:r>
              <w:rPr>
                <w:rFonts w:ascii="Tahoma" w:eastAsia="Times New Roman" w:hAnsi="Tahoma"/>
                <w:szCs w:val="24"/>
                <w:lang w:eastAsia="en-US"/>
              </w:rPr>
              <w:t>t</w:t>
            </w:r>
            <w:r w:rsidRPr="00EB148F">
              <w:rPr>
                <w:rFonts w:ascii="Tahoma" w:eastAsia="Times New Roman" w:hAnsi="Tahoma"/>
                <w:szCs w:val="24"/>
                <w:lang w:eastAsia="en-US"/>
              </w:rPr>
              <w:t xml:space="preserve">he </w:t>
            </w:r>
            <w:r w:rsidR="00940239" w:rsidRPr="00EB148F">
              <w:rPr>
                <w:rFonts w:ascii="Tahoma" w:eastAsia="Times New Roman" w:hAnsi="Tahoma"/>
                <w:szCs w:val="24"/>
                <w:lang w:eastAsia="en-US"/>
              </w:rPr>
              <w:t>osteopath poses a risk of harm to others (patients or otherwise), either delibera</w:t>
            </w:r>
            <w:r w:rsidR="00411FCA">
              <w:rPr>
                <w:rFonts w:ascii="Tahoma" w:eastAsia="Times New Roman" w:hAnsi="Tahoma"/>
                <w:szCs w:val="24"/>
                <w:lang w:eastAsia="en-US"/>
              </w:rPr>
              <w:t>tely or through incompetence,</w:t>
            </w:r>
            <w:r w:rsidR="00940239" w:rsidRPr="00EB148F">
              <w:rPr>
                <w:rFonts w:ascii="Tahoma" w:eastAsia="Times New Roman" w:hAnsi="Tahoma"/>
                <w:szCs w:val="24"/>
                <w:lang w:eastAsia="en-US"/>
              </w:rPr>
              <w:t xml:space="preserve"> particularly where there is a continuing risk to patients</w:t>
            </w:r>
          </w:p>
          <w:p w:rsidR="00940239" w:rsidRDefault="00063C9C" w:rsidP="005D2D57">
            <w:pPr>
              <w:numPr>
                <w:ilvl w:val="0"/>
                <w:numId w:val="29"/>
              </w:numPr>
              <w:tabs>
                <w:tab w:val="clear" w:pos="864"/>
                <w:tab w:val="num" w:pos="601"/>
              </w:tabs>
              <w:spacing w:before="120" w:after="120"/>
              <w:ind w:left="601" w:hanging="425"/>
              <w:rPr>
                <w:rFonts w:ascii="Tahoma" w:eastAsia="Times New Roman" w:hAnsi="Tahoma"/>
                <w:szCs w:val="24"/>
                <w:lang w:eastAsia="en-US"/>
              </w:rPr>
            </w:pPr>
            <w:r>
              <w:rPr>
                <w:rFonts w:ascii="Tahoma" w:eastAsia="Times New Roman" w:hAnsi="Tahoma"/>
                <w:szCs w:val="24"/>
                <w:lang w:eastAsia="en-US"/>
              </w:rPr>
              <w:t>s</w:t>
            </w:r>
            <w:r w:rsidRPr="00EB148F">
              <w:rPr>
                <w:rFonts w:ascii="Tahoma" w:eastAsia="Times New Roman" w:hAnsi="Tahoma"/>
                <w:szCs w:val="24"/>
                <w:lang w:eastAsia="en-US"/>
              </w:rPr>
              <w:t xml:space="preserve">erious </w:t>
            </w:r>
            <w:r w:rsidR="00940239" w:rsidRPr="00EB148F">
              <w:rPr>
                <w:rFonts w:ascii="Tahoma" w:eastAsia="Times New Roman" w:hAnsi="Tahoma"/>
                <w:szCs w:val="24"/>
                <w:lang w:eastAsia="en-US"/>
              </w:rPr>
              <w:t>abuse of position/trust (particularly involving vulnerable patients) or serious violation of the rights of patients</w:t>
            </w:r>
          </w:p>
          <w:p w:rsidR="00940239" w:rsidRDefault="00063C9C" w:rsidP="005D2D57">
            <w:pPr>
              <w:numPr>
                <w:ilvl w:val="0"/>
                <w:numId w:val="29"/>
              </w:numPr>
              <w:tabs>
                <w:tab w:val="clear" w:pos="864"/>
                <w:tab w:val="num" w:pos="601"/>
              </w:tabs>
              <w:spacing w:before="120" w:after="120"/>
              <w:ind w:left="601" w:hanging="425"/>
              <w:rPr>
                <w:rFonts w:ascii="Tahoma" w:eastAsia="Times New Roman" w:hAnsi="Tahoma"/>
                <w:szCs w:val="24"/>
                <w:lang w:eastAsia="en-US"/>
              </w:rPr>
            </w:pPr>
            <w:r>
              <w:rPr>
                <w:rFonts w:ascii="Tahoma" w:eastAsia="Times New Roman" w:hAnsi="Tahoma"/>
                <w:szCs w:val="24"/>
                <w:lang w:eastAsia="en-US"/>
              </w:rPr>
              <w:t>c</w:t>
            </w:r>
            <w:r w:rsidRPr="00EB148F">
              <w:rPr>
                <w:rFonts w:ascii="Tahoma" w:eastAsia="Times New Roman" w:hAnsi="Tahoma"/>
                <w:szCs w:val="24"/>
                <w:lang w:eastAsia="en-US"/>
              </w:rPr>
              <w:t xml:space="preserve">onvictions </w:t>
            </w:r>
            <w:r w:rsidR="00940239" w:rsidRPr="00EB148F">
              <w:rPr>
                <w:rFonts w:ascii="Tahoma" w:eastAsia="Times New Roman" w:hAnsi="Tahoma"/>
                <w:szCs w:val="24"/>
                <w:lang w:eastAsia="en-US"/>
              </w:rPr>
              <w:t>or cautions for sexual offences, including involvement in any form of child pornography, or findings of sexual misconduct</w:t>
            </w:r>
          </w:p>
          <w:p w:rsidR="00861419" w:rsidRDefault="00063C9C" w:rsidP="005D2D57">
            <w:pPr>
              <w:numPr>
                <w:ilvl w:val="0"/>
                <w:numId w:val="29"/>
              </w:numPr>
              <w:tabs>
                <w:tab w:val="clear" w:pos="864"/>
                <w:tab w:val="num" w:pos="601"/>
              </w:tabs>
              <w:spacing w:before="120" w:after="120"/>
              <w:ind w:left="601" w:hanging="425"/>
              <w:rPr>
                <w:rFonts w:ascii="Tahoma" w:eastAsia="Times New Roman" w:hAnsi="Tahoma"/>
                <w:szCs w:val="24"/>
                <w:lang w:eastAsia="en-US"/>
              </w:rPr>
            </w:pPr>
            <w:r>
              <w:rPr>
                <w:rFonts w:ascii="Tahoma" w:eastAsia="Times New Roman" w:hAnsi="Tahoma"/>
                <w:szCs w:val="24"/>
                <w:lang w:eastAsia="en-US"/>
              </w:rPr>
              <w:t>o</w:t>
            </w:r>
            <w:r w:rsidR="00861419">
              <w:rPr>
                <w:rFonts w:ascii="Tahoma" w:eastAsia="Times New Roman" w:hAnsi="Tahoma"/>
                <w:szCs w:val="24"/>
                <w:lang w:eastAsia="en-US"/>
              </w:rPr>
              <w:t>ffences involving violence</w:t>
            </w:r>
          </w:p>
          <w:p w:rsidR="00940239" w:rsidRDefault="00063C9C" w:rsidP="005D2D57">
            <w:pPr>
              <w:numPr>
                <w:ilvl w:val="0"/>
                <w:numId w:val="29"/>
              </w:numPr>
              <w:tabs>
                <w:tab w:val="clear" w:pos="864"/>
                <w:tab w:val="num" w:pos="601"/>
              </w:tabs>
              <w:spacing w:before="120" w:after="120"/>
              <w:ind w:left="601" w:hanging="425"/>
              <w:rPr>
                <w:rFonts w:ascii="Tahoma" w:eastAsia="Times New Roman" w:hAnsi="Tahoma"/>
                <w:szCs w:val="24"/>
                <w:lang w:eastAsia="en-US"/>
              </w:rPr>
            </w:pPr>
            <w:r>
              <w:rPr>
                <w:rFonts w:ascii="Tahoma" w:eastAsia="Times New Roman" w:hAnsi="Tahoma"/>
                <w:szCs w:val="24"/>
                <w:lang w:eastAsia="en-US"/>
              </w:rPr>
              <w:t>a</w:t>
            </w:r>
            <w:r w:rsidRPr="00EB148F">
              <w:rPr>
                <w:rFonts w:ascii="Tahoma" w:eastAsia="Times New Roman" w:hAnsi="Tahoma"/>
                <w:szCs w:val="24"/>
                <w:lang w:eastAsia="en-US"/>
              </w:rPr>
              <w:t xml:space="preserve"> </w:t>
            </w:r>
            <w:r w:rsidR="00940239" w:rsidRPr="00EB148F">
              <w:rPr>
                <w:rFonts w:ascii="Tahoma" w:eastAsia="Times New Roman" w:hAnsi="Tahoma"/>
                <w:szCs w:val="24"/>
                <w:lang w:eastAsia="en-US"/>
              </w:rPr>
              <w:t>serious level of dishonesty (especially where persistent or covered up)</w:t>
            </w:r>
          </w:p>
          <w:p w:rsidR="00940239" w:rsidRDefault="00063C9C" w:rsidP="005D2D57">
            <w:pPr>
              <w:numPr>
                <w:ilvl w:val="0"/>
                <w:numId w:val="29"/>
              </w:numPr>
              <w:tabs>
                <w:tab w:val="clear" w:pos="864"/>
                <w:tab w:val="num" w:pos="601"/>
              </w:tabs>
              <w:spacing w:before="120" w:after="120"/>
              <w:ind w:left="601" w:hanging="425"/>
              <w:rPr>
                <w:rFonts w:ascii="Tahoma" w:eastAsia="Times New Roman" w:hAnsi="Tahoma"/>
                <w:szCs w:val="24"/>
                <w:lang w:eastAsia="en-US"/>
              </w:rPr>
            </w:pPr>
            <w:r>
              <w:rPr>
                <w:rFonts w:ascii="Tahoma" w:eastAsia="Times New Roman" w:hAnsi="Tahoma"/>
                <w:szCs w:val="24"/>
                <w:lang w:eastAsia="en-US"/>
              </w:rPr>
              <w:t>p</w:t>
            </w:r>
            <w:r w:rsidRPr="00EB148F">
              <w:rPr>
                <w:rFonts w:ascii="Tahoma" w:eastAsia="Times New Roman" w:hAnsi="Tahoma"/>
                <w:szCs w:val="24"/>
                <w:lang w:eastAsia="en-US"/>
              </w:rPr>
              <w:t xml:space="preserve">ersistent </w:t>
            </w:r>
            <w:r w:rsidR="00940239" w:rsidRPr="00EB148F">
              <w:rPr>
                <w:rFonts w:ascii="Tahoma" w:eastAsia="Times New Roman" w:hAnsi="Tahoma"/>
                <w:szCs w:val="24"/>
                <w:lang w:eastAsia="en-US"/>
              </w:rPr>
              <w:t>lack of insight into seriousness of actions or consequences</w:t>
            </w:r>
          </w:p>
          <w:p w:rsidR="00940239" w:rsidRDefault="00063C9C" w:rsidP="005D2D57">
            <w:pPr>
              <w:numPr>
                <w:ilvl w:val="0"/>
                <w:numId w:val="29"/>
              </w:numPr>
              <w:tabs>
                <w:tab w:val="clear" w:pos="864"/>
                <w:tab w:val="num" w:pos="601"/>
              </w:tabs>
              <w:spacing w:before="120" w:after="120"/>
              <w:ind w:left="601" w:hanging="425"/>
              <w:rPr>
                <w:rFonts w:ascii="Tahoma" w:eastAsia="Times New Roman" w:hAnsi="Tahoma"/>
                <w:szCs w:val="24"/>
                <w:lang w:eastAsia="en-US"/>
              </w:rPr>
            </w:pPr>
            <w:r>
              <w:rPr>
                <w:rFonts w:ascii="Tahoma" w:eastAsia="Times New Roman" w:hAnsi="Tahoma"/>
                <w:szCs w:val="24"/>
                <w:lang w:eastAsia="en-US"/>
              </w:rPr>
              <w:t>a</w:t>
            </w:r>
            <w:r w:rsidR="00940239" w:rsidRPr="00EB148F">
              <w:rPr>
                <w:rFonts w:ascii="Tahoma" w:eastAsia="Times New Roman" w:hAnsi="Tahoma"/>
                <w:szCs w:val="24"/>
                <w:lang w:eastAsia="en-US"/>
              </w:rPr>
              <w:t xml:space="preserve"> serious lack of competence and no evidence of improvement following a period of continuous suspension or conditions of practice </w:t>
            </w:r>
          </w:p>
          <w:p w:rsidR="00940239" w:rsidRDefault="00063C9C" w:rsidP="005D2D57">
            <w:pPr>
              <w:numPr>
                <w:ilvl w:val="0"/>
                <w:numId w:val="29"/>
              </w:numPr>
              <w:tabs>
                <w:tab w:val="clear" w:pos="864"/>
                <w:tab w:val="num" w:pos="601"/>
              </w:tabs>
              <w:spacing w:before="120" w:after="120"/>
              <w:ind w:left="601" w:hanging="425"/>
              <w:rPr>
                <w:rFonts w:ascii="Tahoma" w:eastAsia="Times New Roman" w:hAnsi="Tahoma"/>
                <w:szCs w:val="24"/>
                <w:lang w:eastAsia="en-US"/>
              </w:rPr>
            </w:pPr>
            <w:r>
              <w:rPr>
                <w:rFonts w:ascii="Tahoma" w:eastAsia="Times New Roman" w:hAnsi="Tahoma"/>
                <w:szCs w:val="24"/>
                <w:lang w:eastAsia="en-US"/>
              </w:rPr>
              <w:t>a</w:t>
            </w:r>
            <w:r w:rsidR="00940239" w:rsidRPr="00EB148F">
              <w:rPr>
                <w:rFonts w:ascii="Tahoma" w:eastAsia="Times New Roman" w:hAnsi="Tahoma"/>
                <w:szCs w:val="24"/>
                <w:lang w:eastAsia="en-US"/>
              </w:rPr>
              <w:t xml:space="preserve"> failure to engage in the fitness to practise proce</w:t>
            </w:r>
            <w:r w:rsidR="003A3395">
              <w:rPr>
                <w:rFonts w:ascii="Tahoma" w:eastAsia="Times New Roman" w:hAnsi="Tahoma"/>
                <w:szCs w:val="24"/>
                <w:lang w:eastAsia="en-US"/>
              </w:rPr>
              <w:t>s</w:t>
            </w:r>
            <w:r w:rsidR="00940239" w:rsidRPr="00EB148F">
              <w:rPr>
                <w:rFonts w:ascii="Tahoma" w:eastAsia="Times New Roman" w:hAnsi="Tahoma"/>
                <w:szCs w:val="24"/>
                <w:lang w:eastAsia="en-US"/>
              </w:rPr>
              <w:t>s.</w:t>
            </w:r>
          </w:p>
          <w:p w:rsidR="00940239" w:rsidRPr="00EB148F" w:rsidRDefault="00063C9C" w:rsidP="005D2D57">
            <w:pPr>
              <w:numPr>
                <w:ilvl w:val="0"/>
                <w:numId w:val="29"/>
              </w:numPr>
              <w:tabs>
                <w:tab w:val="clear" w:pos="864"/>
                <w:tab w:val="num" w:pos="601"/>
              </w:tabs>
              <w:spacing w:before="120" w:after="120"/>
              <w:ind w:left="601" w:hanging="425"/>
              <w:rPr>
                <w:rFonts w:ascii="Tahoma" w:eastAsia="Times New Roman" w:hAnsi="Tahoma"/>
                <w:szCs w:val="24"/>
                <w:lang w:eastAsia="en-US"/>
              </w:rPr>
            </w:pPr>
            <w:r>
              <w:rPr>
                <w:rFonts w:ascii="Tahoma" w:eastAsia="Times New Roman" w:hAnsi="Tahoma"/>
                <w:szCs w:val="24"/>
                <w:lang w:eastAsia="en-US"/>
              </w:rPr>
              <w:t>e</w:t>
            </w:r>
            <w:r w:rsidR="00FE5D77">
              <w:rPr>
                <w:rFonts w:ascii="Tahoma" w:eastAsia="Times New Roman" w:hAnsi="Tahoma"/>
                <w:szCs w:val="24"/>
                <w:lang w:eastAsia="en-US"/>
              </w:rPr>
              <w:t>vidence of harmful, deep seated personality or attitudinal issues/problems.</w:t>
            </w:r>
          </w:p>
        </w:tc>
      </w:tr>
    </w:tbl>
    <w:p w:rsidR="00861419" w:rsidRDefault="00940239" w:rsidP="00063C9C">
      <w:pPr>
        <w:spacing w:before="240"/>
        <w:rPr>
          <w:rFonts w:eastAsia="Times New Roman"/>
          <w:color w:val="auto"/>
          <w:lang w:eastAsia="en-US"/>
        </w:rPr>
      </w:pPr>
      <w:r w:rsidRPr="00EB148F">
        <w:rPr>
          <w:rFonts w:eastAsia="Times New Roman"/>
          <w:color w:val="auto"/>
          <w:lang w:eastAsia="en-US"/>
        </w:rPr>
        <w:t>An order to remove an osteopath’s name from the Register will take effect in 28 days, beginning with the date on which notification of the decision is served on the osteopath, unless ther</w:t>
      </w:r>
      <w:r w:rsidR="00861419">
        <w:rPr>
          <w:rFonts w:eastAsia="Times New Roman"/>
          <w:color w:val="auto"/>
          <w:lang w:eastAsia="en-US"/>
        </w:rPr>
        <w:t xml:space="preserve">e is an appeal. </w:t>
      </w:r>
    </w:p>
    <w:p w:rsidR="00940239" w:rsidRDefault="00861419" w:rsidP="00063C9C">
      <w:pPr>
        <w:spacing w:before="240"/>
        <w:rPr>
          <w:rFonts w:eastAsia="Times New Roman"/>
          <w:color w:val="auto"/>
          <w:lang w:eastAsia="en-US"/>
        </w:rPr>
      </w:pPr>
      <w:r>
        <w:rPr>
          <w:rFonts w:eastAsia="Times New Roman"/>
          <w:color w:val="auto"/>
          <w:lang w:eastAsia="en-US"/>
        </w:rPr>
        <w:t>The PCC should therefore consider whether,</w:t>
      </w:r>
      <w:r w:rsidR="00940239" w:rsidRPr="00EB148F">
        <w:rPr>
          <w:rFonts w:eastAsia="Times New Roman"/>
          <w:color w:val="auto"/>
          <w:lang w:eastAsia="en-US"/>
        </w:rPr>
        <w:t xml:space="preserve"> in order to protect patients and members of the public, it is also necessary to impose an interim suspension order. </w:t>
      </w:r>
    </w:p>
    <w:p w:rsidR="00736D2A" w:rsidRDefault="00736D2A" w:rsidP="009754CA"/>
    <w:sectPr w:rsidR="00736D2A" w:rsidSect="00DE06FE">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1A5" w:rsidRDefault="001E61A5" w:rsidP="008B67A6">
      <w:pPr>
        <w:spacing w:after="0"/>
      </w:pPr>
      <w:r>
        <w:separator/>
      </w:r>
    </w:p>
  </w:endnote>
  <w:endnote w:type="continuationSeparator" w:id="0">
    <w:p w:rsidR="001E61A5" w:rsidRDefault="001E61A5" w:rsidP="008B67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E0" w:rsidRPr="003254D6" w:rsidRDefault="004F7DE0" w:rsidP="00B20292">
    <w:pPr>
      <w:pStyle w:val="Footer"/>
      <w:jc w:val="right"/>
    </w:pPr>
    <w: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E0" w:rsidRDefault="004F7D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897076"/>
      <w:docPartObj>
        <w:docPartGallery w:val="Page Numbers (Bottom of Page)"/>
        <w:docPartUnique/>
      </w:docPartObj>
    </w:sdtPr>
    <w:sdtEndPr>
      <w:rPr>
        <w:noProof/>
      </w:rPr>
    </w:sdtEndPr>
    <w:sdtContent>
      <w:p w:rsidR="004F7DE0" w:rsidRDefault="004F7DE0" w:rsidP="00025DD8">
        <w:pPr>
          <w:pStyle w:val="Footer"/>
          <w:spacing w:after="0"/>
          <w:jc w:val="right"/>
        </w:pPr>
        <w:r>
          <w:fldChar w:fldCharType="begin"/>
        </w:r>
        <w:r>
          <w:instrText xml:space="preserve"> PAGE   \* MERGEFORMAT </w:instrText>
        </w:r>
        <w:r>
          <w:fldChar w:fldCharType="separate"/>
        </w:r>
        <w:r w:rsidR="0078489D">
          <w:rPr>
            <w:noProof/>
          </w:rPr>
          <w:t>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E0" w:rsidRDefault="004F7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1A5" w:rsidRDefault="001E61A5" w:rsidP="008B67A6">
      <w:pPr>
        <w:spacing w:after="0"/>
      </w:pPr>
      <w:r>
        <w:separator/>
      </w:r>
    </w:p>
  </w:footnote>
  <w:footnote w:type="continuationSeparator" w:id="0">
    <w:p w:rsidR="001E61A5" w:rsidRDefault="001E61A5" w:rsidP="008B67A6">
      <w:pPr>
        <w:spacing w:after="0"/>
      </w:pPr>
      <w:r>
        <w:continuationSeparator/>
      </w:r>
    </w:p>
  </w:footnote>
  <w:footnote w:id="1">
    <w:p w:rsidR="004F7DE0" w:rsidRDefault="004F7DE0" w:rsidP="00E63035">
      <w:pPr>
        <w:pStyle w:val="FootnoteText"/>
        <w:ind w:left="142" w:hanging="142"/>
      </w:pPr>
      <w:r>
        <w:rPr>
          <w:rStyle w:val="FootnoteReference"/>
        </w:rPr>
        <w:footnoteRef/>
      </w:r>
      <w:r>
        <w:t xml:space="preserve"> Health allegations are considered by a Health Committee and not the Professional Conduct Committee</w:t>
      </w:r>
    </w:p>
  </w:footnote>
  <w:footnote w:id="2">
    <w:p w:rsidR="004F7DE0" w:rsidRDefault="004F7DE0" w:rsidP="00940239">
      <w:pPr>
        <w:pStyle w:val="FootnoteText"/>
      </w:pPr>
      <w:r>
        <w:rPr>
          <w:rStyle w:val="FootnoteReference"/>
        </w:rPr>
        <w:footnoteRef/>
      </w:r>
      <w:r>
        <w:t xml:space="preserve"> [2012] EWHC 3147 (Admin)</w:t>
      </w:r>
    </w:p>
  </w:footnote>
  <w:footnote w:id="3">
    <w:p w:rsidR="004F7DE0" w:rsidRDefault="004F7DE0" w:rsidP="00940239">
      <w:pPr>
        <w:pStyle w:val="FootnoteText"/>
      </w:pPr>
      <w:r>
        <w:rPr>
          <w:rStyle w:val="FootnoteReference"/>
        </w:rPr>
        <w:footnoteRef/>
      </w:r>
      <w:r>
        <w:t xml:space="preserve"> </w:t>
      </w:r>
      <w:r w:rsidRPr="004513B3">
        <w:rPr>
          <w:rFonts w:eastAsia="Times New Roman"/>
          <w:color w:val="auto"/>
          <w:lang w:eastAsia="en-US"/>
        </w:rPr>
        <w:t>[2015] EWHC 2721 (Admin)</w:t>
      </w:r>
    </w:p>
  </w:footnote>
  <w:footnote w:id="4">
    <w:p w:rsidR="004F7DE0" w:rsidRDefault="004F7DE0" w:rsidP="00940239">
      <w:pPr>
        <w:pStyle w:val="FootnoteText"/>
      </w:pPr>
      <w:r>
        <w:rPr>
          <w:rStyle w:val="FootnoteReference"/>
        </w:rPr>
        <w:footnoteRef/>
      </w:r>
      <w:r>
        <w:t xml:space="preserve"> Vranicki v Architects Registration Board [2007]</w:t>
      </w:r>
    </w:p>
  </w:footnote>
  <w:footnote w:id="5">
    <w:p w:rsidR="004F7DE0" w:rsidRDefault="004F7DE0" w:rsidP="00940239">
      <w:pPr>
        <w:pStyle w:val="FootnoteText"/>
      </w:pPr>
      <w:r>
        <w:rPr>
          <w:rStyle w:val="FootnoteReference"/>
        </w:rPr>
        <w:footnoteRef/>
      </w:r>
      <w:r>
        <w:t xml:space="preserve"> Calhaem v General Medical Council [2008]</w:t>
      </w:r>
    </w:p>
  </w:footnote>
  <w:footnote w:id="6">
    <w:p w:rsidR="00827D29" w:rsidRDefault="00827D29">
      <w:pPr>
        <w:pStyle w:val="FootnoteText"/>
      </w:pPr>
      <w:r>
        <w:rPr>
          <w:rStyle w:val="FootnoteReference"/>
        </w:rPr>
        <w:footnoteRef/>
      </w:r>
      <w:r>
        <w:t xml:space="preserve"> </w:t>
      </w:r>
      <w:r w:rsidRPr="00A945C4">
        <w:t>Practice note: 2015/1 The duty to act in the public interest</w:t>
      </w:r>
    </w:p>
  </w:footnote>
  <w:footnote w:id="7">
    <w:p w:rsidR="00827D29" w:rsidRDefault="00827D29">
      <w:pPr>
        <w:pStyle w:val="FootnoteText"/>
      </w:pPr>
      <w:r>
        <w:rPr>
          <w:rStyle w:val="FootnoteReference"/>
        </w:rPr>
        <w:footnoteRef/>
      </w:r>
      <w:r>
        <w:t xml:space="preserve"> </w:t>
      </w:r>
      <w:r w:rsidRPr="006C0F18">
        <w:rPr>
          <w:rFonts w:eastAsia="Times New Roman"/>
          <w:color w:val="auto"/>
        </w:rPr>
        <w:t xml:space="preserve">See section on </w:t>
      </w:r>
      <w:r>
        <w:rPr>
          <w:rFonts w:eastAsia="Times New Roman"/>
          <w:color w:val="auto"/>
          <w:lang w:eastAsia="en-US"/>
        </w:rPr>
        <w:t>c</w:t>
      </w:r>
      <w:r w:rsidRPr="006C0F18">
        <w:rPr>
          <w:rFonts w:eastAsia="Times New Roman"/>
          <w:color w:val="auto"/>
          <w:lang w:eastAsia="en-US"/>
        </w:rPr>
        <w:t>ircumstances where more serious action is indicated</w:t>
      </w:r>
    </w:p>
  </w:footnote>
  <w:footnote w:id="8">
    <w:p w:rsidR="004F7DE0" w:rsidRDefault="004F7DE0" w:rsidP="00940239">
      <w:pPr>
        <w:pStyle w:val="FootnoteText"/>
      </w:pPr>
      <w:r>
        <w:rPr>
          <w:rStyle w:val="FootnoteReference"/>
        </w:rPr>
        <w:footnoteRef/>
      </w:r>
      <w:r>
        <w:t xml:space="preserve"> For example: Adul-Razzak v General Pharmaceutical Council [2016]</w:t>
      </w:r>
    </w:p>
  </w:footnote>
  <w:footnote w:id="9">
    <w:p w:rsidR="004F7DE0" w:rsidRDefault="004F7DE0" w:rsidP="00940239">
      <w:pPr>
        <w:pStyle w:val="FootnoteText"/>
      </w:pPr>
      <w:r>
        <w:rPr>
          <w:rStyle w:val="FootnoteReference"/>
        </w:rPr>
        <w:footnoteRef/>
      </w:r>
      <w:r>
        <w:t xml:space="preserve"> Kamberova v Nursing and Midwifery Council [2016]</w:t>
      </w:r>
    </w:p>
  </w:footnote>
  <w:footnote w:id="10">
    <w:p w:rsidR="004F7DE0" w:rsidRDefault="004F7DE0" w:rsidP="00940239">
      <w:pPr>
        <w:pStyle w:val="FootnoteText"/>
      </w:pPr>
      <w:r>
        <w:rPr>
          <w:rStyle w:val="FootnoteReference"/>
        </w:rPr>
        <w:footnoteRef/>
      </w:r>
      <w:r>
        <w:t xml:space="preserve"> Guidance for the Professional Conduct Committee on Drafting Determinations, February 2017</w:t>
      </w:r>
    </w:p>
  </w:footnote>
  <w:footnote w:id="11">
    <w:p w:rsidR="00827D29" w:rsidRDefault="00DE7B67" w:rsidP="00827D29">
      <w:pPr>
        <w:pStyle w:val="FootnoteText"/>
        <w:ind w:left="142" w:hanging="142"/>
      </w:pPr>
      <w:r>
        <w:rPr>
          <w:rStyle w:val="FootnoteReference"/>
        </w:rPr>
        <w:footnoteRef/>
      </w:r>
      <w:r>
        <w:t xml:space="preserve"> See Guidance for the Professional Conduct Committee: Formulating Conditions of Practice Orders,</w:t>
      </w:r>
    </w:p>
    <w:p w:rsidR="00DE7B67" w:rsidRDefault="00827D29" w:rsidP="00827D29">
      <w:pPr>
        <w:pStyle w:val="FootnoteText"/>
        <w:ind w:left="142" w:hanging="142"/>
      </w:pPr>
      <w:r>
        <w:t xml:space="preserve"> </w:t>
      </w:r>
      <w:r w:rsidR="00DE7B67">
        <w:t xml:space="preserve"> </w:t>
      </w:r>
      <w:r>
        <w:t xml:space="preserve"> </w:t>
      </w:r>
      <w:r w:rsidR="00DE7B67">
        <w:t>October 2013</w:t>
      </w:r>
    </w:p>
  </w:footnote>
  <w:footnote w:id="12">
    <w:p w:rsidR="004F7DE0" w:rsidRDefault="004F7DE0" w:rsidP="00063C9C">
      <w:pPr>
        <w:pStyle w:val="FootnoteText"/>
        <w:ind w:left="142" w:hanging="142"/>
      </w:pPr>
      <w:r>
        <w:rPr>
          <w:rStyle w:val="FootnoteReference"/>
        </w:rPr>
        <w:footnoteRef/>
      </w:r>
      <w:r>
        <w:t xml:space="preserve"> The PCC should take into account the Guidance for the Professional Conduct Committee on</w:t>
      </w:r>
    </w:p>
    <w:p w:rsidR="004F7DE0" w:rsidRDefault="004F7DE0" w:rsidP="00063C9C">
      <w:pPr>
        <w:pStyle w:val="FootnoteText"/>
        <w:ind w:left="142" w:hanging="142"/>
      </w:pPr>
      <w:r>
        <w:t xml:space="preserve">    Drafting Determinations, February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E0" w:rsidRPr="00895E3C" w:rsidRDefault="004F7DE0" w:rsidP="00895E3C">
    <w:pPr>
      <w:pStyle w:val="Header"/>
      <w:tabs>
        <w:tab w:val="clear" w:pos="4513"/>
        <w:tab w:val="clear" w:pos="9026"/>
        <w:tab w:val="left" w:pos="8145"/>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E0" w:rsidRPr="00F432F0" w:rsidRDefault="001E61A5" w:rsidP="00B20292">
    <w:pPr>
      <w:pStyle w:val="Header"/>
      <w:tabs>
        <w:tab w:val="clear" w:pos="4513"/>
        <w:tab w:val="left" w:pos="567"/>
      </w:tabs>
      <w:rPr>
        <w:rFonts w:ascii="Franklin Gothic Book" w:hAnsi="Franklin Gothic Book"/>
      </w:rPr>
    </w:pPr>
    <w:sdt>
      <w:sdtPr>
        <w:rPr>
          <w:rFonts w:ascii="Franklin Gothic Book" w:hAnsi="Franklin Gothic Book"/>
        </w:rPr>
        <w:id w:val="-527024097"/>
        <w:docPartObj>
          <w:docPartGallery w:val="Watermarks"/>
          <w:docPartUnique/>
        </w:docPartObj>
      </w:sdtPr>
      <w:sdtEndPr/>
      <w:sdtContent>
        <w:r>
          <w:rPr>
            <w:rFonts w:ascii="Franklin Gothic Book" w:hAnsi="Franklin Gothic Book"/>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F7DE0" w:rsidRPr="00F432F0">
      <w:rPr>
        <w:rFonts w:ascii="Franklin Gothic Book" w:hAnsi="Franklin Gothic Book"/>
        <w:noProof/>
      </w:rPr>
      <mc:AlternateContent>
        <mc:Choice Requires="wps">
          <w:drawing>
            <wp:anchor distT="0" distB="0" distL="114300" distR="114300" simplePos="0" relativeHeight="251657216" behindDoc="0" locked="0" layoutInCell="1" allowOverlap="1" wp14:anchorId="4026FD12" wp14:editId="32C762F2">
              <wp:simplePos x="0" y="0"/>
              <wp:positionH relativeFrom="column">
                <wp:posOffset>-1080135</wp:posOffset>
              </wp:positionH>
              <wp:positionV relativeFrom="page">
                <wp:posOffset>720090</wp:posOffset>
              </wp:positionV>
              <wp:extent cx="7938000" cy="0"/>
              <wp:effectExtent l="0" t="19050" r="6350" b="19050"/>
              <wp:wrapNone/>
              <wp:docPr id="10" name="Straight Connector 10"/>
              <wp:cNvGraphicFramePr/>
              <a:graphic xmlns:a="http://schemas.openxmlformats.org/drawingml/2006/main">
                <a:graphicData uri="http://schemas.microsoft.com/office/word/2010/wordprocessingShape">
                  <wps:wsp>
                    <wps:cNvCnPr/>
                    <wps:spPr>
                      <a:xfrm>
                        <a:off x="0" y="0"/>
                        <a:ext cx="7938000" cy="0"/>
                      </a:xfrm>
                      <a:prstGeom prst="line">
                        <a:avLst/>
                      </a:prstGeom>
                      <a:noFill/>
                      <a:ln w="38100" cap="flat" cmpd="sng" algn="ctr">
                        <a:solidFill>
                          <a:srgbClr val="203C5E"/>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5.05pt,56.7pt" to="540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" strokecolor="#203c5e" strokeweight="3pt">
              <w10:wrap anchory="page"/>
            </v:line>
          </w:pict>
        </mc:Fallback>
      </mc:AlternateContent>
    </w:r>
    <w:sdt>
      <w:sdtPr>
        <w:rPr>
          <w:rFonts w:ascii="Franklin Gothic Book" w:hAnsi="Franklin Gothic Book"/>
        </w:rPr>
        <w:id w:val="1085738283"/>
        <w:docPartObj>
          <w:docPartGallery w:val="Page Numbers (Top of Page)"/>
          <w:docPartUnique/>
        </w:docPartObj>
      </w:sdtPr>
      <w:sdtEndPr>
        <w:rPr>
          <w:rFonts w:ascii="Franklin Gothic Heavy" w:hAnsi="Franklin Gothic Heavy"/>
          <w:noProof/>
        </w:rPr>
      </w:sdtEndPr>
      <w:sdtContent>
        <w:r w:rsidR="004F7DE0" w:rsidRPr="00F432F0">
          <w:rPr>
            <w:rFonts w:ascii="Franklin Gothic Heavy" w:hAnsi="Franklin Gothic Heavy"/>
          </w:rPr>
          <w:fldChar w:fldCharType="begin"/>
        </w:r>
        <w:r w:rsidR="004F7DE0" w:rsidRPr="00F432F0">
          <w:rPr>
            <w:rFonts w:ascii="Franklin Gothic Heavy" w:hAnsi="Franklin Gothic Heavy"/>
          </w:rPr>
          <w:instrText xml:space="preserve"> PAGE   \* MERGEFORMAT </w:instrText>
        </w:r>
        <w:r w:rsidR="004F7DE0" w:rsidRPr="00F432F0">
          <w:rPr>
            <w:rFonts w:ascii="Franklin Gothic Heavy" w:hAnsi="Franklin Gothic Heavy"/>
          </w:rPr>
          <w:fldChar w:fldCharType="separate"/>
        </w:r>
        <w:r w:rsidR="004F7DE0">
          <w:rPr>
            <w:rFonts w:ascii="Franklin Gothic Heavy" w:hAnsi="Franklin Gothic Heavy"/>
            <w:noProof/>
          </w:rPr>
          <w:t>2</w:t>
        </w:r>
        <w:r w:rsidR="004F7DE0" w:rsidRPr="00F432F0">
          <w:rPr>
            <w:rFonts w:ascii="Franklin Gothic Heavy" w:hAnsi="Franklin Gothic Heavy"/>
            <w:noProof/>
          </w:rPr>
          <w:fldChar w:fldCharType="end"/>
        </w:r>
        <w:r w:rsidR="004F7DE0">
          <w:rPr>
            <w:rFonts w:ascii="Franklin Gothic Heavy" w:hAnsi="Franklin Gothic Heavy"/>
            <w:noProof/>
          </w:rPr>
          <w:tab/>
        </w:r>
        <w:r w:rsidR="004F7DE0">
          <w:rPr>
            <w:rFonts w:ascii="Franklin Gothic Book" w:hAnsi="Franklin Gothic Book"/>
            <w:noProof/>
          </w:rPr>
          <w:t>GOsC Discussion Paper on Hearings and Sanctions Guidance</w:t>
        </w:r>
      </w:sdtContent>
    </w:sdt>
  </w:p>
  <w:p w:rsidR="004F7DE0" w:rsidRDefault="004F7DE0" w:rsidP="00B20292">
    <w:pPr>
      <w:pStyle w:val="Header"/>
    </w:pPr>
  </w:p>
  <w:p w:rsidR="004F7DE0" w:rsidRDefault="004F7DE0" w:rsidP="00B202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E0" w:rsidRPr="007021F6" w:rsidRDefault="004F7DE0" w:rsidP="00025DD8">
    <w:pPr>
      <w:pStyle w:val="Header"/>
      <w:tabs>
        <w:tab w:val="clear" w:pos="4513"/>
        <w:tab w:val="clear" w:pos="9026"/>
        <w:tab w:val="left" w:pos="8145"/>
      </w:tabs>
      <w:jc w:val="right"/>
      <w:rPr>
        <w:b/>
        <w:sz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E0" w:rsidRPr="006B1DA0" w:rsidRDefault="004F7DE0" w:rsidP="00B20292">
    <w:pPr>
      <w:pStyle w:val="Header"/>
      <w:tabs>
        <w:tab w:val="clear" w:pos="4513"/>
        <w:tab w:val="clear" w:pos="9026"/>
        <w:tab w:val="right" w:pos="9072"/>
        <w:tab w:val="right" w:pos="9639"/>
      </w:tabs>
      <w:jc w:val="right"/>
      <w:rPr>
        <w:rFonts w:ascii="Franklin Gothic Book" w:hAnsi="Franklin Gothic Book"/>
      </w:rPr>
    </w:pPr>
    <w:r>
      <w:rPr>
        <w:rFonts w:ascii="Franklin Gothic Book" w:hAnsi="Franklin Gothic Book"/>
        <w:noProof/>
      </w:rPr>
      <w:tab/>
      <w:t>GOsC Discussion Paper on Hearings and Sanctions Guidance</w:t>
    </w:r>
    <w:r>
      <w:rPr>
        <w:rFonts w:ascii="Franklin Gothic Book" w:hAnsi="Franklin Gothic Book"/>
        <w:noProof/>
      </w:rPr>
      <w:tab/>
    </w:r>
    <w:sdt>
      <w:sdtPr>
        <w:rPr>
          <w:rFonts w:ascii="Franklin Gothic Book" w:hAnsi="Franklin Gothic Book"/>
        </w:rPr>
        <w:id w:val="60686669"/>
        <w:docPartObj>
          <w:docPartGallery w:val="Page Numbers (Top of Page)"/>
          <w:docPartUnique/>
        </w:docPartObj>
      </w:sdtPr>
      <w:sdtEndPr>
        <w:rPr>
          <w:rFonts w:ascii="Franklin Gothic Heavy" w:hAnsi="Franklin Gothic Heavy"/>
          <w:noProof/>
        </w:rPr>
      </w:sdtEndPr>
      <w:sdtContent>
        <w:r w:rsidRPr="00F432F0">
          <w:rPr>
            <w:rFonts w:ascii="Franklin Gothic Heavy" w:hAnsi="Franklin Gothic Heavy"/>
          </w:rPr>
          <w:fldChar w:fldCharType="begin"/>
        </w:r>
        <w:r w:rsidRPr="00F432F0">
          <w:rPr>
            <w:rFonts w:ascii="Franklin Gothic Heavy" w:hAnsi="Franklin Gothic Heavy"/>
          </w:rPr>
          <w:instrText xml:space="preserve"> PAGE   \* MERGEFORMAT </w:instrText>
        </w:r>
        <w:r w:rsidRPr="00F432F0">
          <w:rPr>
            <w:rFonts w:ascii="Franklin Gothic Heavy" w:hAnsi="Franklin Gothic Heavy"/>
          </w:rPr>
          <w:fldChar w:fldCharType="separate"/>
        </w:r>
        <w:r>
          <w:rPr>
            <w:rFonts w:ascii="Franklin Gothic Heavy" w:hAnsi="Franklin Gothic Heavy"/>
            <w:noProof/>
          </w:rPr>
          <w:t>1</w:t>
        </w:r>
        <w:r w:rsidRPr="00F432F0">
          <w:rPr>
            <w:rFonts w:ascii="Franklin Gothic Heavy" w:hAnsi="Franklin Gothic Heavy"/>
            <w:noProof/>
          </w:rPr>
          <w:fldChar w:fldCharType="end"/>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E0" w:rsidRPr="00736D2A" w:rsidRDefault="004F7DE0" w:rsidP="009754CA">
    <w:pPr>
      <w:pStyle w:val="Header"/>
      <w:jc w:val="right"/>
      <w:rPr>
        <w:b/>
        <w:sz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E0" w:rsidRPr="00736D2A" w:rsidRDefault="004F7DE0" w:rsidP="009754CA">
    <w:pPr>
      <w:pStyle w:val="Header"/>
      <w:jc w:val="right"/>
      <w:rPr>
        <w:b/>
        <w:sz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E0" w:rsidRPr="00736D2A" w:rsidRDefault="004F7DE0" w:rsidP="009754CA">
    <w:pPr>
      <w:pStyle w:val="Header"/>
      <w:jc w:val="right"/>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EE25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378C1"/>
    <w:multiLevelType w:val="hybridMultilevel"/>
    <w:tmpl w:val="9C70F34A"/>
    <w:lvl w:ilvl="0" w:tplc="04090019">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
    <w:nsid w:val="0C5A1C98"/>
    <w:multiLevelType w:val="hybridMultilevel"/>
    <w:tmpl w:val="3C388672"/>
    <w:lvl w:ilvl="0" w:tplc="04090019">
      <w:start w:val="1"/>
      <w:numFmt w:val="lowerLetter"/>
      <w:lvlText w:val="%1."/>
      <w:lvlJc w:val="left"/>
      <w:pPr>
        <w:tabs>
          <w:tab w:val="num" w:pos="864"/>
        </w:tabs>
        <w:ind w:left="86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396CC5"/>
    <w:multiLevelType w:val="hybridMultilevel"/>
    <w:tmpl w:val="FEB6246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nsid w:val="109565F5"/>
    <w:multiLevelType w:val="hybridMultilevel"/>
    <w:tmpl w:val="58A88E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9B61545"/>
    <w:multiLevelType w:val="hybridMultilevel"/>
    <w:tmpl w:val="36828F5C"/>
    <w:lvl w:ilvl="0" w:tplc="E83E19F6">
      <w:start w:val="1"/>
      <w:numFmt w:val="bullet"/>
      <w:lvlText w:val="-"/>
      <w:lvlJc w:val="left"/>
      <w:pPr>
        <w:ind w:left="360" w:hanging="36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E377CC"/>
    <w:multiLevelType w:val="hybridMultilevel"/>
    <w:tmpl w:val="3CA62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37454C"/>
    <w:multiLevelType w:val="hybridMultilevel"/>
    <w:tmpl w:val="F2847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A0418E"/>
    <w:multiLevelType w:val="hybridMultilevel"/>
    <w:tmpl w:val="45FC519A"/>
    <w:lvl w:ilvl="0" w:tplc="04090019">
      <w:start w:val="1"/>
      <w:numFmt w:val="lowerLetter"/>
      <w:lvlText w:val="%1."/>
      <w:lvlJc w:val="left"/>
      <w:pPr>
        <w:tabs>
          <w:tab w:val="num" w:pos="864"/>
        </w:tabs>
        <w:ind w:left="86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F32792"/>
    <w:multiLevelType w:val="hybridMultilevel"/>
    <w:tmpl w:val="8DF8D866"/>
    <w:lvl w:ilvl="0" w:tplc="04090019">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10">
    <w:nsid w:val="28910257"/>
    <w:multiLevelType w:val="hybridMultilevel"/>
    <w:tmpl w:val="E448291A"/>
    <w:lvl w:ilvl="0" w:tplc="1880574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CA276F5"/>
    <w:multiLevelType w:val="hybridMultilevel"/>
    <w:tmpl w:val="C5B2D700"/>
    <w:lvl w:ilvl="0" w:tplc="CC021036">
      <w:start w:val="1"/>
      <w:numFmt w:val="decimal"/>
      <w:pStyle w:val="Endnote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653C62"/>
    <w:multiLevelType w:val="hybridMultilevel"/>
    <w:tmpl w:val="886C1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5704A60"/>
    <w:multiLevelType w:val="hybridMultilevel"/>
    <w:tmpl w:val="E448291A"/>
    <w:lvl w:ilvl="0" w:tplc="1880574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A1B55D6"/>
    <w:multiLevelType w:val="hybridMultilevel"/>
    <w:tmpl w:val="58C2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B420A3"/>
    <w:multiLevelType w:val="hybridMultilevel"/>
    <w:tmpl w:val="81B2195C"/>
    <w:lvl w:ilvl="0" w:tplc="04090019">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16">
    <w:nsid w:val="3C4445D2"/>
    <w:multiLevelType w:val="hybridMultilevel"/>
    <w:tmpl w:val="A04035D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74556"/>
    <w:multiLevelType w:val="hybridMultilevel"/>
    <w:tmpl w:val="FAA8B7E0"/>
    <w:lvl w:ilvl="0" w:tplc="97540B3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0E0174C"/>
    <w:multiLevelType w:val="hybridMultilevel"/>
    <w:tmpl w:val="E8769F90"/>
    <w:lvl w:ilvl="0" w:tplc="04090019">
      <w:start w:val="1"/>
      <w:numFmt w:val="lowerLetter"/>
      <w:lvlText w:val="%1."/>
      <w:lvlJc w:val="left"/>
      <w:pPr>
        <w:tabs>
          <w:tab w:val="num" w:pos="864"/>
        </w:tabs>
        <w:ind w:left="86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C228D3"/>
    <w:multiLevelType w:val="hybridMultilevel"/>
    <w:tmpl w:val="A56A6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B912F95"/>
    <w:multiLevelType w:val="hybridMultilevel"/>
    <w:tmpl w:val="54C8CC86"/>
    <w:lvl w:ilvl="0" w:tplc="04090019">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1">
    <w:nsid w:val="54DF3ABE"/>
    <w:multiLevelType w:val="hybridMultilevel"/>
    <w:tmpl w:val="8A82150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5D46AC"/>
    <w:multiLevelType w:val="hybridMultilevel"/>
    <w:tmpl w:val="C5AE2102"/>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B504580"/>
    <w:multiLevelType w:val="hybridMultilevel"/>
    <w:tmpl w:val="FC06082A"/>
    <w:lvl w:ilvl="0" w:tplc="04090019">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24">
    <w:nsid w:val="5C241C25"/>
    <w:multiLevelType w:val="hybridMultilevel"/>
    <w:tmpl w:val="01D81ECA"/>
    <w:lvl w:ilvl="0" w:tplc="04090019">
      <w:start w:val="1"/>
      <w:numFmt w:val="lowerLetter"/>
      <w:lvlText w:val="%1."/>
      <w:lvlJc w:val="left"/>
      <w:pPr>
        <w:tabs>
          <w:tab w:val="num" w:pos="864"/>
        </w:tabs>
        <w:ind w:left="86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CD363A"/>
    <w:multiLevelType w:val="hybridMultilevel"/>
    <w:tmpl w:val="2F5416FA"/>
    <w:lvl w:ilvl="0" w:tplc="04090019">
      <w:start w:val="1"/>
      <w:numFmt w:val="lowerLetter"/>
      <w:lvlText w:val="%1."/>
      <w:lvlJc w:val="left"/>
      <w:pPr>
        <w:tabs>
          <w:tab w:val="num" w:pos="864"/>
        </w:tabs>
        <w:ind w:left="86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6149AC"/>
    <w:multiLevelType w:val="hybridMultilevel"/>
    <w:tmpl w:val="16E0E350"/>
    <w:lvl w:ilvl="0" w:tplc="04090019">
      <w:start w:val="1"/>
      <w:numFmt w:val="lowerLetter"/>
      <w:lvlText w:val="%1."/>
      <w:lvlJc w:val="left"/>
      <w:pPr>
        <w:tabs>
          <w:tab w:val="num" w:pos="864"/>
        </w:tabs>
        <w:ind w:left="86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484D83"/>
    <w:multiLevelType w:val="hybridMultilevel"/>
    <w:tmpl w:val="5B38CFB2"/>
    <w:lvl w:ilvl="0" w:tplc="64744B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BD906F7"/>
    <w:multiLevelType w:val="hybridMultilevel"/>
    <w:tmpl w:val="78AE1C42"/>
    <w:lvl w:ilvl="0" w:tplc="28EC7228">
      <w:start w:val="1"/>
      <w:numFmt w:val="bullet"/>
      <w:pStyle w:val="NoSpacing"/>
      <w:lvlText w:val=""/>
      <w:lvlJc w:val="left"/>
      <w:pPr>
        <w:ind w:left="360" w:hanging="360"/>
      </w:pPr>
      <w:rPr>
        <w:rFonts w:ascii="Symbol" w:hAnsi="Symbol" w:hint="default"/>
        <w:sz w:val="64"/>
        <w:szCs w:val="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AA3BC0"/>
    <w:multiLevelType w:val="hybridMultilevel"/>
    <w:tmpl w:val="EBCA2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E4919B3"/>
    <w:multiLevelType w:val="hybridMultilevel"/>
    <w:tmpl w:val="FD009214"/>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num w:numId="1">
    <w:abstractNumId w:val="28"/>
  </w:num>
  <w:num w:numId="2">
    <w:abstractNumId w:val="28"/>
  </w:num>
  <w:num w:numId="3">
    <w:abstractNumId w:val="28"/>
  </w:num>
  <w:num w:numId="4">
    <w:abstractNumId w:val="28"/>
  </w:num>
  <w:num w:numId="5">
    <w:abstractNumId w:val="28"/>
  </w:num>
  <w:num w:numId="6">
    <w:abstractNumId w:val="11"/>
  </w:num>
  <w:num w:numId="7">
    <w:abstractNumId w:val="0"/>
  </w:num>
  <w:num w:numId="8">
    <w:abstractNumId w:val="22"/>
  </w:num>
  <w:num w:numId="9">
    <w:abstractNumId w:val="13"/>
  </w:num>
  <w:num w:numId="10">
    <w:abstractNumId w:val="17"/>
  </w:num>
  <w:num w:numId="11">
    <w:abstractNumId w:val="27"/>
  </w:num>
  <w:num w:numId="12">
    <w:abstractNumId w:val="21"/>
  </w:num>
  <w:num w:numId="13">
    <w:abstractNumId w:val="16"/>
  </w:num>
  <w:num w:numId="14">
    <w:abstractNumId w:val="7"/>
  </w:num>
  <w:num w:numId="15">
    <w:abstractNumId w:val="10"/>
  </w:num>
  <w:num w:numId="16">
    <w:abstractNumId w:val="4"/>
  </w:num>
  <w:num w:numId="17">
    <w:abstractNumId w:val="30"/>
  </w:num>
  <w:num w:numId="18">
    <w:abstractNumId w:val="6"/>
  </w:num>
  <w:num w:numId="19">
    <w:abstractNumId w:val="19"/>
  </w:num>
  <w:num w:numId="20">
    <w:abstractNumId w:val="20"/>
  </w:num>
  <w:num w:numId="21">
    <w:abstractNumId w:val="9"/>
  </w:num>
  <w:num w:numId="22">
    <w:abstractNumId w:val="18"/>
  </w:num>
  <w:num w:numId="23">
    <w:abstractNumId w:val="24"/>
  </w:num>
  <w:num w:numId="24">
    <w:abstractNumId w:val="25"/>
  </w:num>
  <w:num w:numId="25">
    <w:abstractNumId w:val="2"/>
  </w:num>
  <w:num w:numId="26">
    <w:abstractNumId w:val="8"/>
  </w:num>
  <w:num w:numId="27">
    <w:abstractNumId w:val="1"/>
  </w:num>
  <w:num w:numId="28">
    <w:abstractNumId w:val="15"/>
  </w:num>
  <w:num w:numId="29">
    <w:abstractNumId w:val="26"/>
  </w:num>
  <w:num w:numId="30">
    <w:abstractNumId w:val="23"/>
  </w:num>
  <w:num w:numId="31">
    <w:abstractNumId w:val="5"/>
  </w:num>
  <w:num w:numId="32">
    <w:abstractNumId w:val="29"/>
  </w:num>
  <w:num w:numId="33">
    <w:abstractNumId w:val="14"/>
  </w:num>
  <w:num w:numId="34">
    <w:abstractNumId w:val="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A6"/>
    <w:rsid w:val="00002A8E"/>
    <w:rsid w:val="00024F2F"/>
    <w:rsid w:val="00025DD8"/>
    <w:rsid w:val="0004778C"/>
    <w:rsid w:val="00063C9C"/>
    <w:rsid w:val="00071A62"/>
    <w:rsid w:val="00076DC8"/>
    <w:rsid w:val="000A49DB"/>
    <w:rsid w:val="000D7D7B"/>
    <w:rsid w:val="000E6A7F"/>
    <w:rsid w:val="000F2BD4"/>
    <w:rsid w:val="00102BFF"/>
    <w:rsid w:val="001700C4"/>
    <w:rsid w:val="0017460B"/>
    <w:rsid w:val="001C7E50"/>
    <w:rsid w:val="001D03ED"/>
    <w:rsid w:val="001E61A5"/>
    <w:rsid w:val="00241342"/>
    <w:rsid w:val="00257E32"/>
    <w:rsid w:val="00260FA7"/>
    <w:rsid w:val="00287327"/>
    <w:rsid w:val="002B261A"/>
    <w:rsid w:val="002D36C1"/>
    <w:rsid w:val="002E3559"/>
    <w:rsid w:val="002E4AFC"/>
    <w:rsid w:val="002F72A5"/>
    <w:rsid w:val="003075BC"/>
    <w:rsid w:val="003151A0"/>
    <w:rsid w:val="00381EA1"/>
    <w:rsid w:val="003854B7"/>
    <w:rsid w:val="003A1794"/>
    <w:rsid w:val="003A1AA9"/>
    <w:rsid w:val="003A3395"/>
    <w:rsid w:val="003B2CF3"/>
    <w:rsid w:val="003C2AE4"/>
    <w:rsid w:val="003D276F"/>
    <w:rsid w:val="003F4C93"/>
    <w:rsid w:val="003F532A"/>
    <w:rsid w:val="00400788"/>
    <w:rsid w:val="00411FCA"/>
    <w:rsid w:val="00413BAE"/>
    <w:rsid w:val="00416E2F"/>
    <w:rsid w:val="00434F2F"/>
    <w:rsid w:val="004624DA"/>
    <w:rsid w:val="00472912"/>
    <w:rsid w:val="00493035"/>
    <w:rsid w:val="004D4D05"/>
    <w:rsid w:val="004F3D51"/>
    <w:rsid w:val="004F7DE0"/>
    <w:rsid w:val="00502369"/>
    <w:rsid w:val="00506060"/>
    <w:rsid w:val="00513995"/>
    <w:rsid w:val="00536C30"/>
    <w:rsid w:val="00542093"/>
    <w:rsid w:val="00552C1A"/>
    <w:rsid w:val="0055739A"/>
    <w:rsid w:val="0056663F"/>
    <w:rsid w:val="005968D0"/>
    <w:rsid w:val="00596FDA"/>
    <w:rsid w:val="005A0061"/>
    <w:rsid w:val="005C275A"/>
    <w:rsid w:val="005C32AF"/>
    <w:rsid w:val="005C6908"/>
    <w:rsid w:val="005C6C9B"/>
    <w:rsid w:val="005D2D57"/>
    <w:rsid w:val="00600C9E"/>
    <w:rsid w:val="00611D57"/>
    <w:rsid w:val="0061779C"/>
    <w:rsid w:val="00622E15"/>
    <w:rsid w:val="006418AE"/>
    <w:rsid w:val="00646DDA"/>
    <w:rsid w:val="00651B49"/>
    <w:rsid w:val="00652A82"/>
    <w:rsid w:val="00657727"/>
    <w:rsid w:val="00664D2A"/>
    <w:rsid w:val="006A640B"/>
    <w:rsid w:val="006B6CD2"/>
    <w:rsid w:val="006B70F2"/>
    <w:rsid w:val="006C0F18"/>
    <w:rsid w:val="007173D9"/>
    <w:rsid w:val="00717BED"/>
    <w:rsid w:val="00722396"/>
    <w:rsid w:val="0072454F"/>
    <w:rsid w:val="00732D0B"/>
    <w:rsid w:val="00733D98"/>
    <w:rsid w:val="00736D2A"/>
    <w:rsid w:val="007413E5"/>
    <w:rsid w:val="00746417"/>
    <w:rsid w:val="0075529C"/>
    <w:rsid w:val="0077155B"/>
    <w:rsid w:val="0078489D"/>
    <w:rsid w:val="007B23A3"/>
    <w:rsid w:val="007E1B6F"/>
    <w:rsid w:val="0081595A"/>
    <w:rsid w:val="00827D29"/>
    <w:rsid w:val="00830218"/>
    <w:rsid w:val="008442A8"/>
    <w:rsid w:val="00852491"/>
    <w:rsid w:val="00861419"/>
    <w:rsid w:val="008635C8"/>
    <w:rsid w:val="00873445"/>
    <w:rsid w:val="008740A0"/>
    <w:rsid w:val="0088034A"/>
    <w:rsid w:val="00895E3C"/>
    <w:rsid w:val="008A2741"/>
    <w:rsid w:val="008A7EF7"/>
    <w:rsid w:val="008B67A6"/>
    <w:rsid w:val="00907B6A"/>
    <w:rsid w:val="009144C9"/>
    <w:rsid w:val="0091587E"/>
    <w:rsid w:val="00921275"/>
    <w:rsid w:val="009316BD"/>
    <w:rsid w:val="00940239"/>
    <w:rsid w:val="00950D90"/>
    <w:rsid w:val="009742D2"/>
    <w:rsid w:val="009754CA"/>
    <w:rsid w:val="00994BE5"/>
    <w:rsid w:val="009A3460"/>
    <w:rsid w:val="009A4926"/>
    <w:rsid w:val="009C3A1B"/>
    <w:rsid w:val="009D076A"/>
    <w:rsid w:val="009D6D17"/>
    <w:rsid w:val="009E1A50"/>
    <w:rsid w:val="00A06167"/>
    <w:rsid w:val="00A306F4"/>
    <w:rsid w:val="00A32A5A"/>
    <w:rsid w:val="00A32E3D"/>
    <w:rsid w:val="00A651FF"/>
    <w:rsid w:val="00A659EB"/>
    <w:rsid w:val="00A73064"/>
    <w:rsid w:val="00A9032F"/>
    <w:rsid w:val="00AE29A0"/>
    <w:rsid w:val="00AF388E"/>
    <w:rsid w:val="00B04A5D"/>
    <w:rsid w:val="00B05DE4"/>
    <w:rsid w:val="00B20292"/>
    <w:rsid w:val="00B524B6"/>
    <w:rsid w:val="00B57CE7"/>
    <w:rsid w:val="00B83F71"/>
    <w:rsid w:val="00BA7F5E"/>
    <w:rsid w:val="00BC0C5D"/>
    <w:rsid w:val="00C11F9A"/>
    <w:rsid w:val="00C2261D"/>
    <w:rsid w:val="00C231FD"/>
    <w:rsid w:val="00C373A7"/>
    <w:rsid w:val="00C6346E"/>
    <w:rsid w:val="00C757A5"/>
    <w:rsid w:val="00C86B0B"/>
    <w:rsid w:val="00CA6618"/>
    <w:rsid w:val="00CB097E"/>
    <w:rsid w:val="00CB7AE6"/>
    <w:rsid w:val="00CC7506"/>
    <w:rsid w:val="00CF7941"/>
    <w:rsid w:val="00D00067"/>
    <w:rsid w:val="00D01B0B"/>
    <w:rsid w:val="00D05D09"/>
    <w:rsid w:val="00D12BAF"/>
    <w:rsid w:val="00D15084"/>
    <w:rsid w:val="00D340F9"/>
    <w:rsid w:val="00D41BFF"/>
    <w:rsid w:val="00D51406"/>
    <w:rsid w:val="00D568E2"/>
    <w:rsid w:val="00D64CA3"/>
    <w:rsid w:val="00D917D9"/>
    <w:rsid w:val="00DA031A"/>
    <w:rsid w:val="00DA5D37"/>
    <w:rsid w:val="00DD1C50"/>
    <w:rsid w:val="00DD2015"/>
    <w:rsid w:val="00DE06FE"/>
    <w:rsid w:val="00DE6E07"/>
    <w:rsid w:val="00DE7B51"/>
    <w:rsid w:val="00DE7B67"/>
    <w:rsid w:val="00DF10DD"/>
    <w:rsid w:val="00E04601"/>
    <w:rsid w:val="00E266C1"/>
    <w:rsid w:val="00E3571F"/>
    <w:rsid w:val="00E61B2E"/>
    <w:rsid w:val="00E63035"/>
    <w:rsid w:val="00E7084E"/>
    <w:rsid w:val="00E9474D"/>
    <w:rsid w:val="00EB50F9"/>
    <w:rsid w:val="00EC5D2E"/>
    <w:rsid w:val="00ED748F"/>
    <w:rsid w:val="00EF4959"/>
    <w:rsid w:val="00F06881"/>
    <w:rsid w:val="00F15C8B"/>
    <w:rsid w:val="00F32E43"/>
    <w:rsid w:val="00F53D56"/>
    <w:rsid w:val="00F53E45"/>
    <w:rsid w:val="00F83120"/>
    <w:rsid w:val="00F966CC"/>
    <w:rsid w:val="00F96876"/>
    <w:rsid w:val="00FA0747"/>
    <w:rsid w:val="00FB5D90"/>
    <w:rsid w:val="00FB7895"/>
    <w:rsid w:val="00FD1A7B"/>
    <w:rsid w:val="00FE3082"/>
    <w:rsid w:val="00FE3B14"/>
    <w:rsid w:val="00FE5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color w:val="000000" w:themeColor="text1"/>
        <w:sz w:val="24"/>
        <w:szCs w:val="24"/>
        <w:lang w:val="en-GB" w:eastAsia="en-US" w:bidi="ar-SA"/>
      </w:rPr>
    </w:rPrDefault>
    <w:pPrDefault>
      <w:pPr>
        <w:spacing w:before="120" w:after="200"/>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A6"/>
    <w:pPr>
      <w:spacing w:before="0" w:after="240"/>
      <w:ind w:left="0" w:firstLine="0"/>
    </w:pPr>
    <w:rPr>
      <w:rFonts w:eastAsia="Calibri" w:cs="Tahom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uiPriority w:val="1"/>
    <w:qFormat/>
    <w:rsid w:val="00F53E45"/>
    <w:pPr>
      <w:numPr>
        <w:numId w:val="5"/>
      </w:numPr>
      <w:spacing w:after="0"/>
    </w:pPr>
    <w:rPr>
      <w:szCs w:val="20"/>
      <w:lang w:eastAsia="en-GB"/>
    </w:rPr>
  </w:style>
  <w:style w:type="paragraph" w:styleId="EndnoteText">
    <w:name w:val="endnote text"/>
    <w:basedOn w:val="Normal"/>
    <w:link w:val="EndnoteTextChar"/>
    <w:uiPriority w:val="99"/>
    <w:semiHidden/>
    <w:unhideWhenUsed/>
    <w:rsid w:val="00D340F9"/>
    <w:pPr>
      <w:numPr>
        <w:numId w:val="6"/>
      </w:numPr>
    </w:pPr>
    <w:rPr>
      <w:sz w:val="20"/>
      <w:szCs w:val="20"/>
    </w:rPr>
  </w:style>
  <w:style w:type="character" w:customStyle="1" w:styleId="EndnoteTextChar">
    <w:name w:val="Endnote Text Char"/>
    <w:basedOn w:val="DefaultParagraphFont"/>
    <w:link w:val="EndnoteText"/>
    <w:uiPriority w:val="99"/>
    <w:semiHidden/>
    <w:rsid w:val="00D340F9"/>
    <w:rPr>
      <w:sz w:val="20"/>
      <w:szCs w:val="20"/>
    </w:rPr>
  </w:style>
  <w:style w:type="paragraph" w:styleId="ListParagraph">
    <w:name w:val="List Paragraph"/>
    <w:basedOn w:val="Normal"/>
    <w:uiPriority w:val="34"/>
    <w:qFormat/>
    <w:rsid w:val="008B67A6"/>
    <w:pPr>
      <w:ind w:left="720"/>
      <w:contextualSpacing/>
    </w:pPr>
  </w:style>
  <w:style w:type="paragraph" w:styleId="Header">
    <w:name w:val="header"/>
    <w:basedOn w:val="Normal"/>
    <w:link w:val="HeaderChar"/>
    <w:unhideWhenUsed/>
    <w:rsid w:val="008B67A6"/>
    <w:pPr>
      <w:tabs>
        <w:tab w:val="center" w:pos="4513"/>
        <w:tab w:val="right" w:pos="9026"/>
      </w:tabs>
    </w:pPr>
  </w:style>
  <w:style w:type="character" w:customStyle="1" w:styleId="HeaderChar">
    <w:name w:val="Header Char"/>
    <w:basedOn w:val="DefaultParagraphFont"/>
    <w:link w:val="Header"/>
    <w:uiPriority w:val="99"/>
    <w:rsid w:val="008B67A6"/>
    <w:rPr>
      <w:rFonts w:eastAsia="Calibri" w:cs="Tahoma"/>
      <w:lang w:eastAsia="en-GB"/>
    </w:rPr>
  </w:style>
  <w:style w:type="paragraph" w:styleId="Footer">
    <w:name w:val="footer"/>
    <w:basedOn w:val="Normal"/>
    <w:link w:val="FooterChar"/>
    <w:uiPriority w:val="99"/>
    <w:unhideWhenUsed/>
    <w:rsid w:val="008B67A6"/>
    <w:pPr>
      <w:tabs>
        <w:tab w:val="center" w:pos="4513"/>
        <w:tab w:val="right" w:pos="9026"/>
      </w:tabs>
    </w:pPr>
  </w:style>
  <w:style w:type="character" w:customStyle="1" w:styleId="FooterChar">
    <w:name w:val="Footer Char"/>
    <w:basedOn w:val="DefaultParagraphFont"/>
    <w:link w:val="Footer"/>
    <w:uiPriority w:val="99"/>
    <w:rsid w:val="008B67A6"/>
    <w:rPr>
      <w:rFonts w:eastAsia="Calibri" w:cs="Tahoma"/>
      <w:lang w:eastAsia="en-GB"/>
    </w:rPr>
  </w:style>
  <w:style w:type="paragraph" w:styleId="ListBullet">
    <w:name w:val="List Bullet"/>
    <w:basedOn w:val="Normal"/>
    <w:uiPriority w:val="99"/>
    <w:unhideWhenUsed/>
    <w:rsid w:val="008B67A6"/>
    <w:pPr>
      <w:numPr>
        <w:numId w:val="7"/>
      </w:numPr>
      <w:spacing w:after="0"/>
      <w:contextualSpacing/>
    </w:pPr>
    <w:rPr>
      <w:rFonts w:ascii="Arial" w:eastAsia="Times New Roman" w:hAnsi="Arial"/>
    </w:rPr>
  </w:style>
  <w:style w:type="paragraph" w:styleId="BalloonText">
    <w:name w:val="Balloon Text"/>
    <w:basedOn w:val="Normal"/>
    <w:link w:val="BalloonTextChar"/>
    <w:uiPriority w:val="99"/>
    <w:semiHidden/>
    <w:unhideWhenUsed/>
    <w:rsid w:val="008B67A6"/>
    <w:pPr>
      <w:spacing w:after="0"/>
    </w:pPr>
    <w:rPr>
      <w:sz w:val="16"/>
      <w:szCs w:val="16"/>
    </w:rPr>
  </w:style>
  <w:style w:type="character" w:customStyle="1" w:styleId="BalloonTextChar">
    <w:name w:val="Balloon Text Char"/>
    <w:basedOn w:val="DefaultParagraphFont"/>
    <w:link w:val="BalloonText"/>
    <w:uiPriority w:val="99"/>
    <w:semiHidden/>
    <w:rsid w:val="008B67A6"/>
    <w:rPr>
      <w:rFonts w:eastAsia="Calibri" w:cs="Tahoma"/>
      <w:sz w:val="16"/>
      <w:szCs w:val="16"/>
      <w:lang w:eastAsia="en-GB"/>
    </w:rPr>
  </w:style>
  <w:style w:type="character" w:styleId="SubtleReference">
    <w:name w:val="Subtle Reference"/>
    <w:basedOn w:val="DefaultParagraphFont"/>
    <w:uiPriority w:val="31"/>
    <w:qFormat/>
    <w:rsid w:val="00002A8E"/>
    <w:rPr>
      <w:smallCaps/>
      <w:color w:val="C0504D" w:themeColor="accent2"/>
      <w:u w:val="single"/>
    </w:rPr>
  </w:style>
  <w:style w:type="character" w:styleId="Hyperlink">
    <w:name w:val="Hyperlink"/>
    <w:basedOn w:val="DefaultParagraphFont"/>
    <w:uiPriority w:val="99"/>
    <w:unhideWhenUsed/>
    <w:rsid w:val="006B6CD2"/>
    <w:rPr>
      <w:color w:val="0000FF" w:themeColor="hyperlink"/>
      <w:u w:val="single"/>
    </w:rPr>
  </w:style>
  <w:style w:type="paragraph" w:styleId="FootnoteText">
    <w:name w:val="footnote text"/>
    <w:basedOn w:val="Normal"/>
    <w:link w:val="FootnoteTextChar"/>
    <w:uiPriority w:val="99"/>
    <w:semiHidden/>
    <w:unhideWhenUsed/>
    <w:rsid w:val="00400788"/>
    <w:pPr>
      <w:spacing w:after="0"/>
    </w:pPr>
    <w:rPr>
      <w:sz w:val="20"/>
      <w:szCs w:val="20"/>
    </w:rPr>
  </w:style>
  <w:style w:type="character" w:customStyle="1" w:styleId="FootnoteTextChar">
    <w:name w:val="Footnote Text Char"/>
    <w:basedOn w:val="DefaultParagraphFont"/>
    <w:link w:val="FootnoteText"/>
    <w:uiPriority w:val="99"/>
    <w:semiHidden/>
    <w:rsid w:val="00400788"/>
    <w:rPr>
      <w:rFonts w:eastAsia="Calibri" w:cs="Tahoma"/>
      <w:sz w:val="20"/>
      <w:szCs w:val="20"/>
      <w:lang w:eastAsia="en-GB"/>
    </w:rPr>
  </w:style>
  <w:style w:type="character" w:styleId="FootnoteReference">
    <w:name w:val="footnote reference"/>
    <w:basedOn w:val="DefaultParagraphFont"/>
    <w:uiPriority w:val="99"/>
    <w:semiHidden/>
    <w:unhideWhenUsed/>
    <w:rsid w:val="00400788"/>
    <w:rPr>
      <w:vertAlign w:val="superscript"/>
    </w:rPr>
  </w:style>
  <w:style w:type="table" w:styleId="TableGrid">
    <w:name w:val="Table Grid"/>
    <w:basedOn w:val="TableNormal"/>
    <w:uiPriority w:val="59"/>
    <w:rsid w:val="00940239"/>
    <w:pPr>
      <w:spacing w:before="0" w:after="0"/>
      <w:ind w:left="0" w:firstLine="0"/>
    </w:pPr>
    <w:rPr>
      <w:rFonts w:ascii="Calibri" w:hAnsi="Calibri"/>
      <w:color w:val="auto"/>
      <w:sz w:val="22"/>
      <w:szCs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40239"/>
    <w:pPr>
      <w:spacing w:before="0" w:after="0"/>
      <w:ind w:left="0" w:firstLine="0"/>
    </w:pPr>
    <w:rPr>
      <w:rFonts w:ascii="Arial" w:eastAsia="Calibri" w:hAnsi="Arial"/>
      <w:color w:val="auto"/>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57E32"/>
    <w:rPr>
      <w:sz w:val="16"/>
      <w:szCs w:val="16"/>
    </w:rPr>
  </w:style>
  <w:style w:type="paragraph" w:styleId="CommentText">
    <w:name w:val="annotation text"/>
    <w:basedOn w:val="Normal"/>
    <w:link w:val="CommentTextChar"/>
    <w:uiPriority w:val="99"/>
    <w:semiHidden/>
    <w:unhideWhenUsed/>
    <w:rsid w:val="00257E32"/>
    <w:rPr>
      <w:sz w:val="20"/>
      <w:szCs w:val="20"/>
    </w:rPr>
  </w:style>
  <w:style w:type="character" w:customStyle="1" w:styleId="CommentTextChar">
    <w:name w:val="Comment Text Char"/>
    <w:basedOn w:val="DefaultParagraphFont"/>
    <w:link w:val="CommentText"/>
    <w:uiPriority w:val="99"/>
    <w:semiHidden/>
    <w:rsid w:val="00257E32"/>
    <w:rPr>
      <w:rFonts w:eastAsia="Calibri" w:cs="Tahoma"/>
      <w:sz w:val="20"/>
      <w:szCs w:val="20"/>
      <w:lang w:eastAsia="en-GB"/>
    </w:rPr>
  </w:style>
  <w:style w:type="paragraph" w:styleId="CommentSubject">
    <w:name w:val="annotation subject"/>
    <w:basedOn w:val="CommentText"/>
    <w:next w:val="CommentText"/>
    <w:link w:val="CommentSubjectChar"/>
    <w:uiPriority w:val="99"/>
    <w:semiHidden/>
    <w:unhideWhenUsed/>
    <w:rsid w:val="00257E32"/>
    <w:rPr>
      <w:b/>
      <w:bCs/>
    </w:rPr>
  </w:style>
  <w:style w:type="character" w:customStyle="1" w:styleId="CommentSubjectChar">
    <w:name w:val="Comment Subject Char"/>
    <w:basedOn w:val="CommentTextChar"/>
    <w:link w:val="CommentSubject"/>
    <w:uiPriority w:val="99"/>
    <w:semiHidden/>
    <w:rsid w:val="00257E32"/>
    <w:rPr>
      <w:rFonts w:eastAsia="Calibri" w:cs="Tahoma"/>
      <w:b/>
      <w:bCs/>
      <w:sz w:val="20"/>
      <w:szCs w:val="20"/>
      <w:lang w:eastAsia="en-GB"/>
    </w:rPr>
  </w:style>
  <w:style w:type="character" w:styleId="Emphasis">
    <w:name w:val="Emphasis"/>
    <w:basedOn w:val="DefaultParagraphFont"/>
    <w:uiPriority w:val="20"/>
    <w:qFormat/>
    <w:rsid w:val="005573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color w:val="000000" w:themeColor="text1"/>
        <w:sz w:val="24"/>
        <w:szCs w:val="24"/>
        <w:lang w:val="en-GB" w:eastAsia="en-US" w:bidi="ar-SA"/>
      </w:rPr>
    </w:rPrDefault>
    <w:pPrDefault>
      <w:pPr>
        <w:spacing w:before="120" w:after="200"/>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A6"/>
    <w:pPr>
      <w:spacing w:before="0" w:after="240"/>
      <w:ind w:left="0" w:firstLine="0"/>
    </w:pPr>
    <w:rPr>
      <w:rFonts w:eastAsia="Calibri" w:cs="Tahom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uiPriority w:val="1"/>
    <w:qFormat/>
    <w:rsid w:val="00F53E45"/>
    <w:pPr>
      <w:numPr>
        <w:numId w:val="5"/>
      </w:numPr>
      <w:spacing w:after="0"/>
    </w:pPr>
    <w:rPr>
      <w:szCs w:val="20"/>
      <w:lang w:eastAsia="en-GB"/>
    </w:rPr>
  </w:style>
  <w:style w:type="paragraph" w:styleId="EndnoteText">
    <w:name w:val="endnote text"/>
    <w:basedOn w:val="Normal"/>
    <w:link w:val="EndnoteTextChar"/>
    <w:uiPriority w:val="99"/>
    <w:semiHidden/>
    <w:unhideWhenUsed/>
    <w:rsid w:val="00D340F9"/>
    <w:pPr>
      <w:numPr>
        <w:numId w:val="6"/>
      </w:numPr>
    </w:pPr>
    <w:rPr>
      <w:sz w:val="20"/>
      <w:szCs w:val="20"/>
    </w:rPr>
  </w:style>
  <w:style w:type="character" w:customStyle="1" w:styleId="EndnoteTextChar">
    <w:name w:val="Endnote Text Char"/>
    <w:basedOn w:val="DefaultParagraphFont"/>
    <w:link w:val="EndnoteText"/>
    <w:uiPriority w:val="99"/>
    <w:semiHidden/>
    <w:rsid w:val="00D340F9"/>
    <w:rPr>
      <w:sz w:val="20"/>
      <w:szCs w:val="20"/>
    </w:rPr>
  </w:style>
  <w:style w:type="paragraph" w:styleId="ListParagraph">
    <w:name w:val="List Paragraph"/>
    <w:basedOn w:val="Normal"/>
    <w:uiPriority w:val="34"/>
    <w:qFormat/>
    <w:rsid w:val="008B67A6"/>
    <w:pPr>
      <w:ind w:left="720"/>
      <w:contextualSpacing/>
    </w:pPr>
  </w:style>
  <w:style w:type="paragraph" w:styleId="Header">
    <w:name w:val="header"/>
    <w:basedOn w:val="Normal"/>
    <w:link w:val="HeaderChar"/>
    <w:unhideWhenUsed/>
    <w:rsid w:val="008B67A6"/>
    <w:pPr>
      <w:tabs>
        <w:tab w:val="center" w:pos="4513"/>
        <w:tab w:val="right" w:pos="9026"/>
      </w:tabs>
    </w:pPr>
  </w:style>
  <w:style w:type="character" w:customStyle="1" w:styleId="HeaderChar">
    <w:name w:val="Header Char"/>
    <w:basedOn w:val="DefaultParagraphFont"/>
    <w:link w:val="Header"/>
    <w:uiPriority w:val="99"/>
    <w:rsid w:val="008B67A6"/>
    <w:rPr>
      <w:rFonts w:eastAsia="Calibri" w:cs="Tahoma"/>
      <w:lang w:eastAsia="en-GB"/>
    </w:rPr>
  </w:style>
  <w:style w:type="paragraph" w:styleId="Footer">
    <w:name w:val="footer"/>
    <w:basedOn w:val="Normal"/>
    <w:link w:val="FooterChar"/>
    <w:uiPriority w:val="99"/>
    <w:unhideWhenUsed/>
    <w:rsid w:val="008B67A6"/>
    <w:pPr>
      <w:tabs>
        <w:tab w:val="center" w:pos="4513"/>
        <w:tab w:val="right" w:pos="9026"/>
      </w:tabs>
    </w:pPr>
  </w:style>
  <w:style w:type="character" w:customStyle="1" w:styleId="FooterChar">
    <w:name w:val="Footer Char"/>
    <w:basedOn w:val="DefaultParagraphFont"/>
    <w:link w:val="Footer"/>
    <w:uiPriority w:val="99"/>
    <w:rsid w:val="008B67A6"/>
    <w:rPr>
      <w:rFonts w:eastAsia="Calibri" w:cs="Tahoma"/>
      <w:lang w:eastAsia="en-GB"/>
    </w:rPr>
  </w:style>
  <w:style w:type="paragraph" w:styleId="ListBullet">
    <w:name w:val="List Bullet"/>
    <w:basedOn w:val="Normal"/>
    <w:uiPriority w:val="99"/>
    <w:unhideWhenUsed/>
    <w:rsid w:val="008B67A6"/>
    <w:pPr>
      <w:numPr>
        <w:numId w:val="7"/>
      </w:numPr>
      <w:spacing w:after="0"/>
      <w:contextualSpacing/>
    </w:pPr>
    <w:rPr>
      <w:rFonts w:ascii="Arial" w:eastAsia="Times New Roman" w:hAnsi="Arial"/>
    </w:rPr>
  </w:style>
  <w:style w:type="paragraph" w:styleId="BalloonText">
    <w:name w:val="Balloon Text"/>
    <w:basedOn w:val="Normal"/>
    <w:link w:val="BalloonTextChar"/>
    <w:uiPriority w:val="99"/>
    <w:semiHidden/>
    <w:unhideWhenUsed/>
    <w:rsid w:val="008B67A6"/>
    <w:pPr>
      <w:spacing w:after="0"/>
    </w:pPr>
    <w:rPr>
      <w:sz w:val="16"/>
      <w:szCs w:val="16"/>
    </w:rPr>
  </w:style>
  <w:style w:type="character" w:customStyle="1" w:styleId="BalloonTextChar">
    <w:name w:val="Balloon Text Char"/>
    <w:basedOn w:val="DefaultParagraphFont"/>
    <w:link w:val="BalloonText"/>
    <w:uiPriority w:val="99"/>
    <w:semiHidden/>
    <w:rsid w:val="008B67A6"/>
    <w:rPr>
      <w:rFonts w:eastAsia="Calibri" w:cs="Tahoma"/>
      <w:sz w:val="16"/>
      <w:szCs w:val="16"/>
      <w:lang w:eastAsia="en-GB"/>
    </w:rPr>
  </w:style>
  <w:style w:type="character" w:styleId="SubtleReference">
    <w:name w:val="Subtle Reference"/>
    <w:basedOn w:val="DefaultParagraphFont"/>
    <w:uiPriority w:val="31"/>
    <w:qFormat/>
    <w:rsid w:val="00002A8E"/>
    <w:rPr>
      <w:smallCaps/>
      <w:color w:val="C0504D" w:themeColor="accent2"/>
      <w:u w:val="single"/>
    </w:rPr>
  </w:style>
  <w:style w:type="character" w:styleId="Hyperlink">
    <w:name w:val="Hyperlink"/>
    <w:basedOn w:val="DefaultParagraphFont"/>
    <w:uiPriority w:val="99"/>
    <w:unhideWhenUsed/>
    <w:rsid w:val="006B6CD2"/>
    <w:rPr>
      <w:color w:val="0000FF" w:themeColor="hyperlink"/>
      <w:u w:val="single"/>
    </w:rPr>
  </w:style>
  <w:style w:type="paragraph" w:styleId="FootnoteText">
    <w:name w:val="footnote text"/>
    <w:basedOn w:val="Normal"/>
    <w:link w:val="FootnoteTextChar"/>
    <w:uiPriority w:val="99"/>
    <w:semiHidden/>
    <w:unhideWhenUsed/>
    <w:rsid w:val="00400788"/>
    <w:pPr>
      <w:spacing w:after="0"/>
    </w:pPr>
    <w:rPr>
      <w:sz w:val="20"/>
      <w:szCs w:val="20"/>
    </w:rPr>
  </w:style>
  <w:style w:type="character" w:customStyle="1" w:styleId="FootnoteTextChar">
    <w:name w:val="Footnote Text Char"/>
    <w:basedOn w:val="DefaultParagraphFont"/>
    <w:link w:val="FootnoteText"/>
    <w:uiPriority w:val="99"/>
    <w:semiHidden/>
    <w:rsid w:val="00400788"/>
    <w:rPr>
      <w:rFonts w:eastAsia="Calibri" w:cs="Tahoma"/>
      <w:sz w:val="20"/>
      <w:szCs w:val="20"/>
      <w:lang w:eastAsia="en-GB"/>
    </w:rPr>
  </w:style>
  <w:style w:type="character" w:styleId="FootnoteReference">
    <w:name w:val="footnote reference"/>
    <w:basedOn w:val="DefaultParagraphFont"/>
    <w:uiPriority w:val="99"/>
    <w:semiHidden/>
    <w:unhideWhenUsed/>
    <w:rsid w:val="00400788"/>
    <w:rPr>
      <w:vertAlign w:val="superscript"/>
    </w:rPr>
  </w:style>
  <w:style w:type="table" w:styleId="TableGrid">
    <w:name w:val="Table Grid"/>
    <w:basedOn w:val="TableNormal"/>
    <w:uiPriority w:val="59"/>
    <w:rsid w:val="00940239"/>
    <w:pPr>
      <w:spacing w:before="0" w:after="0"/>
      <w:ind w:left="0" w:firstLine="0"/>
    </w:pPr>
    <w:rPr>
      <w:rFonts w:ascii="Calibri" w:hAnsi="Calibri"/>
      <w:color w:val="auto"/>
      <w:sz w:val="22"/>
      <w:szCs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40239"/>
    <w:pPr>
      <w:spacing w:before="0" w:after="0"/>
      <w:ind w:left="0" w:firstLine="0"/>
    </w:pPr>
    <w:rPr>
      <w:rFonts w:ascii="Arial" w:eastAsia="Calibri" w:hAnsi="Arial"/>
      <w:color w:val="auto"/>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57E32"/>
    <w:rPr>
      <w:sz w:val="16"/>
      <w:szCs w:val="16"/>
    </w:rPr>
  </w:style>
  <w:style w:type="paragraph" w:styleId="CommentText">
    <w:name w:val="annotation text"/>
    <w:basedOn w:val="Normal"/>
    <w:link w:val="CommentTextChar"/>
    <w:uiPriority w:val="99"/>
    <w:semiHidden/>
    <w:unhideWhenUsed/>
    <w:rsid w:val="00257E32"/>
    <w:rPr>
      <w:sz w:val="20"/>
      <w:szCs w:val="20"/>
    </w:rPr>
  </w:style>
  <w:style w:type="character" w:customStyle="1" w:styleId="CommentTextChar">
    <w:name w:val="Comment Text Char"/>
    <w:basedOn w:val="DefaultParagraphFont"/>
    <w:link w:val="CommentText"/>
    <w:uiPriority w:val="99"/>
    <w:semiHidden/>
    <w:rsid w:val="00257E32"/>
    <w:rPr>
      <w:rFonts w:eastAsia="Calibri" w:cs="Tahoma"/>
      <w:sz w:val="20"/>
      <w:szCs w:val="20"/>
      <w:lang w:eastAsia="en-GB"/>
    </w:rPr>
  </w:style>
  <w:style w:type="paragraph" w:styleId="CommentSubject">
    <w:name w:val="annotation subject"/>
    <w:basedOn w:val="CommentText"/>
    <w:next w:val="CommentText"/>
    <w:link w:val="CommentSubjectChar"/>
    <w:uiPriority w:val="99"/>
    <w:semiHidden/>
    <w:unhideWhenUsed/>
    <w:rsid w:val="00257E32"/>
    <w:rPr>
      <w:b/>
      <w:bCs/>
    </w:rPr>
  </w:style>
  <w:style w:type="character" w:customStyle="1" w:styleId="CommentSubjectChar">
    <w:name w:val="Comment Subject Char"/>
    <w:basedOn w:val="CommentTextChar"/>
    <w:link w:val="CommentSubject"/>
    <w:uiPriority w:val="99"/>
    <w:semiHidden/>
    <w:rsid w:val="00257E32"/>
    <w:rPr>
      <w:rFonts w:eastAsia="Calibri" w:cs="Tahoma"/>
      <w:b/>
      <w:bCs/>
      <w:sz w:val="20"/>
      <w:szCs w:val="20"/>
      <w:lang w:eastAsia="en-GB"/>
    </w:rPr>
  </w:style>
  <w:style w:type="character" w:styleId="Emphasis">
    <w:name w:val="Emphasis"/>
    <w:basedOn w:val="DefaultParagraphFont"/>
    <w:uiPriority w:val="20"/>
    <w:qFormat/>
    <w:rsid w:val="005573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9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teopathy.org.uk"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osteopathy.org.uk/standards/complaints/guidance-practice-notes-and-polic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yperlink" Target="mailto:regulation@osteopathy.org.uk"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6A510-11E1-4F43-82C6-21EFD9B6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5032</Words>
  <Characters>28687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33652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Van Heerden (General Osteopathic Council)</dc:creator>
  <cp:lastModifiedBy>Margot Pinder (General Osteopathic Council)</cp:lastModifiedBy>
  <cp:revision>2</cp:revision>
  <dcterms:created xsi:type="dcterms:W3CDTF">2017-09-22T14:36:00Z</dcterms:created>
  <dcterms:modified xsi:type="dcterms:W3CDTF">2017-09-22T14:36:00Z</dcterms:modified>
</cp:coreProperties>
</file>